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Blühendes Leben: Arbeitszeugnis, Codierung und Trennung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GewO § 109; BGB Nebenpflichten; arbeitsgerichtliches Verfahren; Zeugniswahrheit und Zeugniswohlwollen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