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Blühendes Leben: Arbeitszeugnis, Codierung und Trennung</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 zunächst freundlich klingendes Zeugnis enthält Brüche, Auslassungen und Leistungsabwertungen; zugleich laufen Vergleich, Resturlaub und Referenzanfragen.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GewO § 109; BGB Nebenpflichten; arbeitsgerichtliches Verfahren; Zeugniswahrheit und Zeugniswohlwollen.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