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Chronologie der Geburtsnacht 17./18. Juli 2024</w:t>
      </w:r>
    </w:p>
    <w:p>
      <w:pPr>
        <w:jc w:val="left"/>
      </w:pPr>
      <w:r>
        <w:t>Erstellt: Dezember 2024 auf Grundlage Patientenakte (Erstanforderung November 2024), CTG-Ausdrucke, Aufnahmeprotokoll, Mandantenaussage Erstgespräch. Stand: vorläufig, Sachverständigenauswertung ausstehend.</w:t>
      </w:r>
    </w:p>
    <w:p>
      <w:pPr>
        <w:jc w:val="left"/>
      </w:pPr>
      <w:r>
        <w:t xml:space="preserve">Konfliktstellen zwischen Akte und Mandantenaussage sind </w:t>
      </w:r>
      <w:r>
        <w:rPr>
          <w:b/>
        </w:rPr>
        <w:t>fett markiert</w:t>
      </w:r>
      <w:r>
        <w:t>.</w:t>
      </w:r>
    </w:p>
    <w:p>
      <w:pPr>
        <w:jc w:val="left"/>
      </w:pPr>
      <w:r>
        <w:t>Lücken in der Dokumentation sind mit ⚠ markiert.</w:t>
      </w:r>
    </w:p>
    <w:p/>
    <w:p>
      <w:pPr>
        <w:pStyle w:val="Heading2"/>
      </w:pPr>
      <w:r>
        <w:rPr>
          <w:rFonts w:ascii="Times New Roman" w:hAnsi="Times New Roman"/>
        </w:rPr>
        <w:t>17. Juli 2024</w:t>
      </w:r>
    </w:p>
    <w:p>
      <w:pPr>
        <w:jc w:val="left"/>
      </w:pPr>
      <w:r>
        <w:rPr>
          <w:b/>
        </w:rPr>
        <w:t>21:30 Uhr</w:t>
      </w:r>
      <w:r>
        <w:t xml:space="preserve"> (Mandantenaussage): Abfahrt Wohnung Hildesheim, Fahrzeit ca. 20 Minuten nach Bad Salzdetfurth.</w:t>
      </w:r>
    </w:p>
    <w:p>
      <w:pPr>
        <w:jc w:val="left"/>
      </w:pPr>
      <w:r>
        <w:rPr>
          <w:b/>
        </w:rPr>
        <w:t>21:48 Uhr</w:t>
      </w:r>
      <w:r>
        <w:t xml:space="preserve"> (Aufnahmekarte, Akte): Aufnahme Kreißsaal. Aufnahme durch Beleghebamme Margit Sander. Gewichtskontrolle, Blutdruckmessung, CTG-Anlage. Eintragsfeld Arzt: „Dr. Voth informiert". Ob Dr. Voth das Aufnahme-CTG selbst gesehen hat, ist der Akte nicht zu entnehmen.</w:t>
      </w:r>
    </w:p>
    <w:p>
      <w:pPr>
        <w:jc w:val="left"/>
      </w:pPr>
      <w:r>
        <w:rPr>
          <w:b/>
        </w:rPr>
        <w:t>21:48 – 22:15 Uhr</w:t>
      </w:r>
      <w:r>
        <w:t xml:space="preserve"> (CTG-Bogen 1, Akte): CTG-Aufzeichnung. Baseline 110–115 Schläge/min, variabel. Variable Dezelerationen auf 90–95 Schläge/min, Dauer 20–30 Sekunden, Wiederkehrrate mit jeder zweiten Wehe.</w:t>
      </w:r>
    </w:p>
    <w:p>
      <w:pPr>
        <w:jc w:val="left"/>
      </w:pPr>
      <w:r>
        <w:t xml:space="preserve">— Eintragung Hebamme Sander im Partogramm: „CTG unruhig, Positionswechsel links. Baseline normfrequent." </w:t>
      </w:r>
      <w:r>
        <w:rPr>
          <w:b/>
        </w:rPr>
        <w:t>Konfliktstelle 1:</w:t>
      </w:r>
      <w:r>
        <w:t xml:space="preserve"> Baseline 110 liegt zwar noch formal im Normbereich (110–150 nach DGGG), steht aber an der unteren Grenze; Dezelerationen wurden dokumentiert, aber nicht als suspekt klassifiziert. Sachverständige wird hierzu befragt.</w:t>
      </w:r>
    </w:p>
    <w:p>
      <w:pPr>
        <w:jc w:val="left"/>
      </w:pPr>
      <w:r>
        <w:rPr>
          <w:b/>
        </w:rPr>
        <w:t>22:30 Uhr</w:t>
      </w:r>
      <w:r>
        <w:t xml:space="preserve"> (Partogramm, Akte): Vaginale Untersuchung. Muttermund 5 cm, Kopf in Beckeneingang, Lage regelrecht.</w:t>
      </w:r>
    </w:p>
    <w:p>
      <w:pPr>
        <w:jc w:val="left"/>
      </w:pPr>
      <w:r>
        <w:rPr>
          <w:b/>
        </w:rPr>
        <w:t>23:05 Uhr</w:t>
      </w:r>
      <w:r>
        <w:t xml:space="preserve"> (Partogramm, Akte): Muttermund 7 cm. Wehen alle 3 Minuten. ⚠ Kein Arztvisite dokumentiert. </w:t>
      </w:r>
      <w:r>
        <w:rPr>
          <w:b/>
        </w:rPr>
        <w:t>Konfliktstelle 2:</w:t>
      </w:r>
      <w:r>
        <w:t xml:space="preserve"> Frau Meinhardt erinnert, dass ab ca. 23:00 Uhr eine andere Hebamme in den Kreißsaal kam. Akte zeigt durchgehend Einträge von Sander bis 01:12 Uhr; Zeitpunkt Übergabe auf Hebamme Pfletschinger laut Akte 01:12 Uhr.</w:t>
      </w:r>
    </w:p>
    <w:p>
      <w:pPr>
        <w:jc w:val="left"/>
      </w:pPr>
      <w:r>
        <w:rPr>
          <w:b/>
        </w:rPr>
        <w:t>23:25 – 23:55 Uhr</w:t>
      </w:r>
      <w:r>
        <w:t xml:space="preserve"> (CTG-Bogen 2, Akte): CTG zeigt jetzt späte Dezelerationen (Nadir nach Wehengipfel). Frequenz: bei ca. 60–70% der Kontraktionen. Tiefpunkt 85–90 Schläge/min. Anstiegszeit nach Dezeleration &gt; 90 Sekunden. ⚠ Keine Arztinfo in der Akte für diesen Zeitraum dokumentiert. Keine Mikroblutuntersuchung (MBU) angeordnet.</w:t>
      </w:r>
    </w:p>
    <w:p/>
    <w:p>
      <w:pPr>
        <w:pStyle w:val="Heading2"/>
      </w:pPr>
      <w:r>
        <w:rPr>
          <w:rFonts w:ascii="Times New Roman" w:hAnsi="Times New Roman"/>
        </w:rPr>
        <w:t>18. Juli 2024</w:t>
      </w:r>
    </w:p>
    <w:p>
      <w:pPr>
        <w:jc w:val="left"/>
      </w:pPr>
      <w:r>
        <w:rPr>
          <w:b/>
        </w:rPr>
        <w:t>00:10 Uhr</w:t>
      </w:r>
      <w:r>
        <w:t xml:space="preserve"> (Partogramm, Akte): Sander vermerkt: „Wehentätigkeit regelmäßig, MM 8 cm, Pressreflex noch nicht. Patient gibt an, Schmerzen zunehmend, PDA besprochen, Verzicht Patientin." </w:t>
      </w:r>
      <w:r>
        <w:rPr>
          <w:b/>
        </w:rPr>
        <w:t>Konfliktstelle 3:</w:t>
      </w:r>
      <w:r>
        <w:t xml:space="preserve"> Frau Meinhardt erinnert sich nicht an ein Gespräch über PDA-Verzicht; sie sagt, sie habe irgendwann „Nein" zu einer Spritze gesagt, sei aber nicht gefragt worden, was diese Spritze sei.</w:t>
      </w:r>
    </w:p>
    <w:p>
      <w:pPr>
        <w:jc w:val="left"/>
      </w:pPr>
      <w:r>
        <w:rPr>
          <w:b/>
        </w:rPr>
        <w:t>01:12 Uhr</w:t>
      </w:r>
      <w:r>
        <w:t xml:space="preserve"> (Übergabeeintrag, Akte): Hebamme Sander übergibt an Hebamme Pfletschinger (Anke Pfletschinger). Übergabeeintrag: 4 Zeilen, kein CTG-Status, kein Vermerk der Dezelerationsmuster. </w:t>
      </w:r>
      <w:r>
        <w:rPr>
          <w:b/>
        </w:rPr>
        <w:t>Konfliktstelle 4 / Kernvorwurf:</w:t>
      </w:r>
      <w:r>
        <w:t xml:space="preserve"> Nach Sachverständigeneinschätzung (Gutachten Zusammenfassung AS 08) war eine ordnungsgemäße Übergabe bei dem zu diesem Zeitpunkt bestehenden suspekten CTG-Befund zwingend geboten. Sander sagt in ihrer späteren Befragung durch die Schlichtungsstelle, sie habe Pfletschinger mündlich auf das CTG hingewiesen; Pfletschinger bestreitet, einen Hinweis auf pathologisches Muster erhalten zu haben.</w:t>
      </w:r>
    </w:p>
    <w:p>
      <w:pPr>
        <w:jc w:val="left"/>
      </w:pPr>
      <w:r>
        <w:rPr>
          <w:b/>
        </w:rPr>
        <w:t>01:12 – 01:50 Uhr</w:t>
      </w:r>
      <w:r>
        <w:t xml:space="preserve"> (CTG-Bogen 3, Akte): CTG-Aufzeichnung weiter — Dezelerationen nehmen zu, Baseline fällt in diesem Bereich auf dauerhaft 105 Schläge/min. ⚠ Bogen 3 hat eine Unterbrechung: 01:26–01:34 Uhr fehlen (8 Minuten, kein Papier, kein Hinweis auf Gerätewechsel).</w:t>
      </w:r>
    </w:p>
    <w:p>
      <w:pPr>
        <w:jc w:val="left"/>
      </w:pPr>
      <w:r>
        <w:rPr>
          <w:b/>
        </w:rPr>
        <w:t>01:50 Uhr</w:t>
      </w:r>
      <w:r>
        <w:t xml:space="preserve"> (Partogramm, Akte): Pfletschinger: „Muttermund vollständig, Austreibungsphase, Pressversuch begonnen." Kein Arzt gerufen.</w:t>
      </w:r>
    </w:p>
    <w:p>
      <w:pPr>
        <w:jc w:val="left"/>
      </w:pPr>
      <w:r>
        <w:rPr>
          <w:b/>
        </w:rPr>
        <w:t>02:15 Uhr</w:t>
      </w:r>
      <w:r>
        <w:t xml:space="preserve"> (Pflegeeintrag, Akte): „Pressversuche, Fortschritt zögernd." Keine ärztliche Visite dokumentiert.</w:t>
      </w:r>
    </w:p>
    <w:p>
      <w:pPr>
        <w:jc w:val="left"/>
      </w:pPr>
      <w:r>
        <w:rPr>
          <w:b/>
        </w:rPr>
        <w:t>02:30 Uhr</w:t>
      </w:r>
      <w:r>
        <w:t xml:space="preserve"> (Akte, handschriftl. Eintrag Dr. Voth): „pH-Wert 7,28 — im Normbereich." ⚠ </w:t>
      </w:r>
      <w:r>
        <w:rPr>
          <w:b/>
        </w:rPr>
        <w:t>Konfliktstelle 5 / Kernvorwurf:</w:t>
      </w:r>
      <w:r>
        <w:t xml:space="preserve"> Der Eintrag steht im Widerspruch zu dem, was aus dem vorliegenden CTG-Muster seit 23:30 Uhr nachvollziehbar ist. Woher der Wert stammt (Nabelvene? Kapillare? Akte?) und welche Methodik angewandt wurde, ist nicht dokumentiert. Die Sachverständige (AS 08) kommt zu dem Ergebnis, aus dem CTG-Muster ab 23:30 Uhr hätte spätestens ab 01:30 Uhr eine Mikroblutuntersuchung indiziert gewesen. Ein Blut-pH von 7,28 um 02:30 Uhr wäre nur dann als „unauffällig" zu werten, wenn die MBU korrekt durchgeführt wurde — was in der Akte nicht belegt ist. Zudem fehlt im OP-Bericht jegliche Auswertung der Nabelschnurblutgase aus dieser Messung.</w:t>
      </w:r>
    </w:p>
    <w:p>
      <w:pPr>
        <w:jc w:val="left"/>
      </w:pPr>
      <w:r>
        <w:rPr>
          <w:b/>
        </w:rPr>
        <w:t>02:30 – 03:30 Uhr</w:t>
      </w:r>
      <w:r>
        <w:t xml:space="preserve"> (CTG-Bogen 4 und 5, Akte): Bogen 4 vollständig vorhanden: späte Dezelerationen, Baseline 105, Variabilität eingeschränkt (&lt; 5 Schläge). Bogen 5 fehlt komplett in der übersandten Akte. ⚠ </w:t>
      </w:r>
      <w:r>
        <w:rPr>
          <w:b/>
        </w:rPr>
        <w:t>Konfliktstelle 6:</w:t>
      </w:r>
      <w:r>
        <w:t xml:space="preserve"> Bogen 5 müsste den Zeitraum ca. 03:05–03:47 Uhr abdecken. Seine Abwesenheit ist nach Ansicht der Sachverständigen besonders erklärungsbedürftig, weil genau in diesem Zeitraum die Bradykardie eingesetzt haben dürfte.</w:t>
      </w:r>
    </w:p>
    <w:p>
      <w:pPr>
        <w:jc w:val="left"/>
      </w:pPr>
      <w:r>
        <w:rPr>
          <w:b/>
        </w:rPr>
        <w:t>03:47 Uhr</w:t>
      </w:r>
      <w:r>
        <w:t xml:space="preserve"> (OP-Bericht, Akte): Notfallsectio. Indikation laut OP-Bericht: „Bradykardie, fetale Herztonabfall auf 60 Schläge/min, anhaltend." OP-Beginn 03:47 Uhr. Kindsentbindung 03:54 Uhr. Kein Datum/Uhrzeit für die Entscheidung zum OP, kein dokumentierter Aufklärungsdialog.</w:t>
      </w:r>
    </w:p>
    <w:p>
      <w:pPr>
        <w:jc w:val="left"/>
      </w:pPr>
      <w:r>
        <w:rPr>
          <w:b/>
        </w:rPr>
        <w:t>03:54 Uhr</w:t>
      </w:r>
      <w:r>
        <w:t xml:space="preserve"> (NICU-Bericht, Akte): Helene Meinhardt, weiblich. Geburtsgewicht 3.410 g. Apgar 1 (1 Min.) / 3 (5 Min.) / 5 (10 Min.). Nabelschnur-pH 6,92, BE −18,5 mmol/L. Reanimation laut NICU-Bericht: Beutel-Masken-Beatmung 2 Minuten, dann Intubation. Verlegung auf Neugeborenenintensivstation um 04:22 Uhr. Diagnose bei Aufnahme: Hypoxisch-ischämische Enzephalopathie (HIE) schwer (Grad III nach Sarnat).</w:t>
      </w:r>
    </w:p>
    <w:p>
      <w:pPr>
        <w:jc w:val="left"/>
      </w:pPr>
      <w:r>
        <w:rPr>
          <w:b/>
        </w:rPr>
        <w:t>05:30 Uhr</w:t>
      </w:r>
      <w:r>
        <w:t xml:space="preserve"> (Arztbrief NICU, Akte): Hypothermie-Protokoll begonnen (Ganzkörperkühlung, Standard bei HIE). Beginn innerhalb der 6-Stunden-Grenze.</w:t>
      </w:r>
    </w:p>
    <w:p>
      <w:pPr>
        <w:jc w:val="left"/>
      </w:pPr>
      <w:r>
        <w:rPr>
          <w:b/>
        </w:rPr>
        <w:t>Folgetage</w:t>
      </w:r>
      <w:r>
        <w:t xml:space="preserve"> (NICU-Berichte, Akte): Bildgebung am Tag 4: MRT zeigt ausgedehnte kortikale und subkortikale Läsionen, Schädigung Stammganglien beidseits. Diagnose: ICP Grad III (Infantile Cerebralparese, gemäß Klassifikation GMFCS V). Prognose durch Neuropädiatrie schriftlich dokumentiert: „schwere kognitive und motorische Entwicklungsstörung zu erwarten, dauerhafte Pflegebedürftigkeit wahrscheinlich".</w:t>
      </w:r>
    </w:p>
    <w:p/>
    <w:p>
      <w:pPr>
        <w:pStyle w:val="Heading2"/>
      </w:pPr>
      <w:r>
        <w:rPr>
          <w:rFonts w:ascii="Times New Roman" w:hAnsi="Times New Roman"/>
        </w:rPr>
        <w:t>Zusammenfassung der Konfliktstellen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Konflikt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Quelldivergenz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21:48–22:15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Dezelerationen nicht als suspekt gewertet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CTG-Bogen vs. Partogramm-Eintrag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23:00–01:12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Übergabezeitpunkt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Mandantenaussage vs.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00:10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PDA-Verzicht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Mandantenaussage vs. Partogramm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01:12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Qualität der Schichtübergabe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Sander-Aussage vs. Pfletschinger-Aussage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pH-Wert-Herkunft und -Bedeutung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Eintrag Dr. Voth vs. CTG-Muster vs. Sachverständigengutachten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03:05–03:47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CTG-Bogen 5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 unvollständig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