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CTG-Kurvenanalyse und Befundung</w:t>
      </w:r>
    </w:p>
    <w:p>
      <w:pPr>
        <w:jc w:val="left"/>
      </w:pPr>
      <w:r>
        <w:t>Grundlage: CTG-Ausdrucke aus der Patientenakte (Papierbögen 1–4, Bogen 5 fehlt), Auswertungsblatt der Klinik (AS 03), spätere Befundung durch geburtshilfliche Sachverständige Prof. Dr. M.-G. im Rahmen des AÄK-Schlichtungsverfahrens.</w:t>
      </w:r>
    </w:p>
    <w:p>
      <w:pPr>
        <w:jc w:val="left"/>
      </w:pPr>
      <w:r>
        <w:t>Hinweis: Die physischen CTG-Originalstreifen (Thermopapierolle) wurden von der Klinik bislang nicht übersandt. Die Ausdrucke sind digitale Rekonstruktionen; ein Vergleich mit dem Ursprungsmaterial steht aus.</w:t>
      </w:r>
    </w:p>
    <w:p/>
    <w:p>
      <w:pPr>
        <w:pStyle w:val="Heading2"/>
      </w:pPr>
      <w:r>
        <w:rPr>
          <w:rFonts w:ascii="Times New Roman" w:hAnsi="Times New Roman"/>
        </w:rPr>
        <w:t>Grundbegriffe (intern, für Mitarbeiterin Reuss)</w:t>
      </w:r>
    </w:p>
    <w:p>
      <w:pPr>
        <w:pStyle w:val="ListBullet"/>
      </w:pPr>
      <w:r>
        <w:rPr>
          <w:b/>
        </w:rPr>
        <w:t>Basalfrequenz (Baseline):</w:t>
      </w:r>
      <w:r>
        <w:t xml:space="preserve"> mittlere Herzfrequenz des Kindes über 10 Minuten, außerhalb von Dezelerationen. Normbereich: 110–150 bpm.</w:t>
      </w:r>
    </w:p>
    <w:p>
      <w:pPr>
        <w:pStyle w:val="ListBullet"/>
      </w:pPr>
      <w:r>
        <w:rPr>
          <w:b/>
        </w:rPr>
        <w:t>Variabilität:</w:t>
      </w:r>
      <w:r>
        <w:t xml:space="preserve"> kurzfristige Schwankungen der Basalfrequenz. Normal: 5–25 bpm. Eingeschränkt: &lt; 5 bpm (möglicher Hinweis auf Azidose oder Schlaf).</w:t>
      </w:r>
    </w:p>
    <w:p>
      <w:pPr>
        <w:pStyle w:val="ListBullet"/>
      </w:pPr>
      <w:r>
        <w:rPr>
          <w:b/>
        </w:rPr>
        <w:t>Akzelerationen:</w:t>
      </w:r>
      <w:r>
        <w:t xml:space="preserve"> Anstiege der HF &gt; 15 bpm für &gt; 15 Sekunden. Zeichen fetalen Wohlbefindens.</w:t>
      </w:r>
    </w:p>
    <w:p>
      <w:pPr>
        <w:pStyle w:val="ListBullet"/>
      </w:pPr>
      <w:r>
        <w:rPr>
          <w:b/>
        </w:rPr>
        <w:t>Variable Dezelerationen:</w:t>
      </w:r>
      <w:r>
        <w:t xml:space="preserve"> abrupte HF-Abfälle, nabelschnurbedingt, prognose- und zeitabhängig.</w:t>
      </w:r>
    </w:p>
    <w:p>
      <w:pPr>
        <w:pStyle w:val="ListBullet"/>
      </w:pPr>
      <w:r>
        <w:rPr>
          <w:b/>
        </w:rPr>
        <w:t>Späte Dezelerationen:</w:t>
      </w:r>
      <w:r>
        <w:t xml:space="preserve"> HF-Abfall beginnt &gt; 30 Sekunden nach Wehengipfel, langsame Erholung. Hinweis auf utero-plazentare Perfusionsstörung (potenziell hypoxisch). Bei Wiederholung mit eingeschränkter Variabilität: Indikation zur Mikroblutuntersuchung (MBU) nach DGGG-Leitlinie S3 „Geburtsleitung" (AWMF 015-083, 2020).</w:t>
      </w:r>
    </w:p>
    <w:p/>
    <w:p>
      <w:pPr>
        <w:pStyle w:val="Heading2"/>
      </w:pPr>
      <w:r>
        <w:rPr>
          <w:rFonts w:ascii="Times New Roman" w:hAnsi="Times New Roman"/>
        </w:rPr>
        <w:t>Bogen 1: 21:51 – 22:45 Uhr</w:t>
      </w:r>
    </w:p>
    <w:p>
      <w:pPr>
        <w:jc w:val="left"/>
      </w:pPr>
      <w:r>
        <w:rPr>
          <w:b/>
        </w:rPr>
        <w:t>Befund klinische Dokumentation (Klinik):</w:t>
      </w:r>
      <w:r>
        <w:t xml:space="preserve"> „unauffällig"</w:t>
      </w:r>
    </w:p>
    <w:p>
      <w:pPr>
        <w:jc w:val="left"/>
      </w:pPr>
      <w:r>
        <w:rPr>
          <w:b/>
        </w:rPr>
        <w:t>Befund Sachverständige (Zusammenfassung Schlichtungsverfahren):</w:t>
      </w:r>
    </w:p>
    <w:p>
      <w:pPr>
        <w:jc w:val="left"/>
      </w:pPr>
      <w:r>
        <w:t>Basalfrequenz 110–115 bpm. Variabilität mäßig (5–8 bpm). Einige variable Dezelerationen, kurz (&lt; 30 Sekunden). Zwei Akzelerationen. Gesamtbewertung nach FIGO: grenzwertig (nicht eindeutig normal). Die Sachverständige hält die Bewertung „unauffällig" durch Hebamme Sander für vertretbar, aber „an der unteren Toleranzgrenze". Kritik: keine ärztliche Mitbeurteilung dokumentiert trotz Baseline am unteren Normrand.</w:t>
      </w:r>
    </w:p>
    <w:p>
      <w:pPr>
        <w:jc w:val="left"/>
      </w:pPr>
      <w:r>
        <w:rPr>
          <w:b/>
        </w:rPr>
        <w:t>Erläuterung zu Bogen 1:</w:t>
      </w:r>
    </w:p>
    <w:p>
      <w:pPr>
        <w:jc w:val="left"/>
      </w:pPr>
      <w:r>
        <w:t>Die Basalfrequenz von 110–115 bpm liegt formal noch im Normalbereich nach FIGO-Klassifikation. Kritisch ist, dass bereits zu diesem Zeitpunkt kein expliziter Arztbefund aktenkundig ist. Bei einem Risikokollektiv (Posttermin ET+5) wäre eine ärztliche CTG-Beurteilung innerhalb der ersten Stunde dokumentationspflichtig nach klinikinternen Standards, die der Sachverständigen vorlagen.</w:t>
      </w:r>
    </w:p>
    <w:p/>
    <w:p>
      <w:pPr>
        <w:pStyle w:val="Heading2"/>
      </w:pPr>
      <w:r>
        <w:rPr>
          <w:rFonts w:ascii="Times New Roman" w:hAnsi="Times New Roman"/>
        </w:rPr>
        <w:t>Bogen 2: 22:45 – 01:12 Uhr (ca.)</w:t>
      </w:r>
    </w:p>
    <w:p>
      <w:pPr>
        <w:jc w:val="left"/>
      </w:pPr>
      <w:r>
        <w:rPr>
          <w:b/>
        </w:rPr>
        <w:t>Befund klinische Dokumentation (Klinik):</w:t>
      </w:r>
      <w:r>
        <w:t xml:space="preserve"> „suspektes CTG, Maßnahmen: [leer]"</w:t>
      </w:r>
    </w:p>
    <w:p>
      <w:pPr>
        <w:jc w:val="left"/>
      </w:pPr>
      <w:r>
        <w:rPr>
          <w:b/>
        </w:rPr>
        <w:t>Befund Sachverständige:</w:t>
      </w:r>
    </w:p>
    <w:p>
      <w:pPr>
        <w:jc w:val="left"/>
      </w:pPr>
      <w:r>
        <w:t>Ab ca. 23:25 Uhr eindeutig späte Dezelerationen, definitionsgemäß: HF-Abfall beginnt 40–60 Sekunden nach Kontraktionsgipfel, Nadir 85–90 bpm, Rückkehr zur Baseline über 90–120 Sekunden. Ab 23:55 Uhr bei jeder dritten Kontraktion. Basalfrequenz fällt auf 105–110 bpm. Variabilität progressiv eingeschränkt, ab 00:30 Uhr &lt; 5 bpm über 20-Minuten-Abschnitte.</w:t>
      </w:r>
    </w:p>
    <w:p>
      <w:pPr>
        <w:jc w:val="left"/>
      </w:pPr>
      <w:r>
        <w:t>Bewertung Sachverständige: „Spätestens ab 23:30 Uhr lag ein pathologisches CTG-Muster vor, das nach den einschlägigen klinischen Leitlinien (DGGG S3 2020, AWMF 015-083) zwingend eine Mikroblutuntersuchung oder eine Sectio-Indikationsstellung erforderte. Beides ist für diesen Zeitraum in der Akte nicht dokumentiert."</w:t>
      </w:r>
    </w:p>
    <w:p>
      <w:pPr>
        <w:jc w:val="left"/>
      </w:pPr>
      <w:r>
        <w:rPr>
          <w:b/>
        </w:rPr>
        <w:t>⚠ Unterbrechung Bogen 2:</w:t>
      </w:r>
      <w:r>
        <w:t xml:space="preserve"> Von 01:26 bis 01:34 Uhr fehlen acht Minuten. Auf dem Ausdruck: leerer Streifen. Weder Hinweis auf Gerätewechsel noch auf Bewegungsartefakt. Klinik erklärt auf Nachfrage durch Schlichtungsstelle, das Papier sei damals ausgegangen und kurz gewechselt worden. Die Sachverständige hält dies für möglich, aber unbelegt; der Zeitraum ist gerade der Beginn der Schichtübergabe.</w:t>
      </w:r>
    </w:p>
    <w:p/>
    <w:p>
      <w:pPr>
        <w:pStyle w:val="Heading2"/>
      </w:pPr>
      <w:r>
        <w:rPr>
          <w:rFonts w:ascii="Times New Roman" w:hAnsi="Times New Roman"/>
        </w:rPr>
        <w:t>Bogen 3: 01:12 – 02:30 Uhr (ca.)</w:t>
      </w:r>
    </w:p>
    <w:p>
      <w:pPr>
        <w:jc w:val="left"/>
      </w:pPr>
      <w:r>
        <w:rPr>
          <w:b/>
        </w:rPr>
        <w:t>Befund Sachverständige:</w:t>
      </w:r>
    </w:p>
    <w:p>
      <w:pPr>
        <w:jc w:val="left"/>
      </w:pPr>
      <w:r>
        <w:t>Basalfrequenz 105 bpm konstant. Variabilität eingeschränkt (3–4 bpm) über gesamten Bogen. Späte Dezelerationen jetzt bei fast jeder Kontraktion (4–5 pro 10 Min). Nadir 80–85 bpm. Keine Akzelerationen mehr.</w:t>
      </w:r>
    </w:p>
    <w:p>
      <w:pPr>
        <w:jc w:val="left"/>
      </w:pPr>
      <w:r>
        <w:t>Bewertung Sachverständige: „Der CTG-Befund ab 01:12 Uhr zeigt ein eindeutig pathologisches Muster (nach FIGO-Klassifikation 2015: abnormal). Eine sofortige Sectio-Indikationsstellung oder zumindest MBU war zu diesem Zeitpunkt medizinischer Standard. Die vorhandene Eintragung 'MBU erwogen' ohne dokumentierten Befund oder weiteres Handeln ist nicht ausreichend."</w:t>
      </w:r>
    </w:p>
    <w:p>
      <w:pPr>
        <w:jc w:val="left"/>
      </w:pPr>
      <w:r>
        <w:t>Der Eintrag „pH 7,28" um 02:30 Uhr durch Dr. V. (AS 03): Die Sachverständige zweifelt nicht automatisch an dem Wert, aber: (1) Es fehlt die Dokumentation des Messortes und der Methodik. (2) Ein pH von 7,28 bei dem gezeigten CTG-Bild ist erklärungsbedürftig; bei echter spätabendlicher Azidoseentwicklung würde ein kapillärer pH 7,28 nicht ausschließen, dass ein venöser Nabelschnur-pH bereits im Grenzbereich liegt. (3) Der fehlende Bogen 5 lässt keine Rekonstruktion des Zeitraums 03:05–03:47 Uhr zu.</w:t>
      </w:r>
    </w:p>
    <w:p/>
    <w:p>
      <w:pPr>
        <w:pStyle w:val="Heading2"/>
      </w:pPr>
      <w:r>
        <w:rPr>
          <w:rFonts w:ascii="Times New Roman" w:hAnsi="Times New Roman"/>
        </w:rPr>
        <w:t>Bogen 4: 02:30 – 03:05 Uhr (ca.)</w:t>
      </w:r>
    </w:p>
    <w:p>
      <w:pPr>
        <w:jc w:val="left"/>
      </w:pPr>
      <w:r>
        <w:t>Liegt vollständig vor. Befund: Unverändert pathologisches Muster, Basalfrequenz 105, Variabilität &lt; 5 bpm, späte Dezelerationen jede Kontraktion.</w:t>
      </w:r>
    </w:p>
    <w:p/>
    <w:p>
      <w:pPr>
        <w:pStyle w:val="Heading2"/>
      </w:pPr>
      <w:r>
        <w:rPr>
          <w:rFonts w:ascii="Times New Roman" w:hAnsi="Times New Roman"/>
        </w:rPr>
        <w:t>Bogen 5: 03:05 – 03:47 Uhr — FEHLT</w:t>
      </w:r>
    </w:p>
    <w:p>
      <w:pPr>
        <w:jc w:val="left"/>
      </w:pPr>
      <w:r>
        <w:t>Dies ist der klinisch bedeutsamste Abschnitt: die letzten 42 Minuten vor der Notsectio, der Zeitraum, in dem die Bradykardie eingesetzt haben muss. Bogen 5 ist in der übersandten Akte nicht enthalten.</w:t>
      </w:r>
    </w:p>
    <w:p>
      <w:pPr>
        <w:jc w:val="left"/>
      </w:pPr>
      <w:r>
        <w:t>Klinikstellungnahme (aus Schriftwechsel AS 09): „Der CTG-Streifen ist vollständig in der Patientenakte gelagert, es wurde eine vollständige Kopie übersandt." Dieser Aussage widerspricht der Aktenbefund.</w:t>
      </w:r>
    </w:p>
    <w:p>
      <w:pPr>
        <w:jc w:val="left"/>
      </w:pPr>
      <w:r>
        <w:t>Rechtliche Einordnung: Fehlende oder vernichtete Beweismittel können unter § 630h Abs. 3 BGB zur Beweislastumkehr führen, sofern die Lücke behandlungsfehlersuspekt ist. Das wird Gegenstand der Klageschrift.</w:t>
      </w:r>
    </w:p>
    <w:p/>
    <w:p>
      <w:pPr>
        <w:pStyle w:val="Heading2"/>
      </w:pPr>
      <w:r>
        <w:rPr>
          <w:rFonts w:ascii="Times New Roman" w:hAnsi="Times New Roman"/>
        </w:rPr>
        <w:t>Synoptische Bewertung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Zeitraum</w:t>
            </w:r>
          </w:p>
        </w:tc>
        <w:tc>
          <w:tcPr>
            <w:tcW w:type="dxa" w:w="2268"/>
          </w:tcPr>
          <w:p>
            <w:r>
              <w:rPr>
                <w:rFonts w:ascii="Times New Roman" w:hAnsi="Times New Roman"/>
                <w:b/>
                <w:sz w:val="20"/>
              </w:rPr>
              <w:t>Klinik-Einstufung</w:t>
            </w:r>
          </w:p>
        </w:tc>
        <w:tc>
          <w:tcPr>
            <w:tcW w:type="dxa" w:w="2268"/>
          </w:tcPr>
          <w:p>
            <w:r>
              <w:rPr>
                <w:rFonts w:ascii="Times New Roman" w:hAnsi="Times New Roman"/>
                <w:b/>
                <w:sz w:val="20"/>
              </w:rPr>
              <w:t>Sachverständige</w:t>
            </w:r>
          </w:p>
        </w:tc>
        <w:tc>
          <w:tcPr>
            <w:tcW w:type="dxa" w:w="2268"/>
          </w:tcPr>
          <w:p>
            <w:r>
              <w:rPr>
                <w:rFonts w:ascii="Times New Roman" w:hAnsi="Times New Roman"/>
                <w:b/>
                <w:sz w:val="20"/>
              </w:rPr>
              <w:t>Maßnahme dokumentiert</w:t>
            </w:r>
          </w:p>
        </w:tc>
      </w:tr>
      <w:tr>
        <w:tc>
          <w:tcPr>
            <w:tcW w:type="dxa" w:w="2268"/>
          </w:tcPr>
          <w:p>
            <w:r>
              <w:rPr>
                <w:rFonts w:ascii="Times New Roman" w:hAnsi="Times New Roman"/>
                <w:sz w:val="20"/>
              </w:rPr>
              <w:t>21:51–22:45</w:t>
            </w:r>
          </w:p>
        </w:tc>
        <w:tc>
          <w:tcPr>
            <w:tcW w:type="dxa" w:w="2268"/>
          </w:tcPr>
          <w:p>
            <w:r>
              <w:rPr>
                <w:rFonts w:ascii="Times New Roman" w:hAnsi="Times New Roman"/>
                <w:sz w:val="20"/>
              </w:rPr>
              <w:t>unauffällig</w:t>
            </w:r>
          </w:p>
        </w:tc>
        <w:tc>
          <w:tcPr>
            <w:tcW w:type="dxa" w:w="2268"/>
          </w:tcPr>
          <w:p>
            <w:r>
              <w:rPr>
                <w:rFonts w:ascii="Times New Roman" w:hAnsi="Times New Roman"/>
                <w:sz w:val="20"/>
              </w:rPr>
              <w:t>grenzwertig</w:t>
            </w:r>
          </w:p>
        </w:tc>
        <w:tc>
          <w:tcPr>
            <w:tcW w:type="dxa" w:w="2268"/>
          </w:tcPr>
          <w:p>
            <w:r>
              <w:rPr>
                <w:rFonts w:ascii="Times New Roman" w:hAnsi="Times New Roman"/>
                <w:sz w:val="20"/>
              </w:rPr>
              <w:t>Keine ärztl. Sicht</w:t>
            </w:r>
          </w:p>
        </w:tc>
      </w:tr>
      <w:tr>
        <w:tc>
          <w:tcPr>
            <w:tcW w:type="dxa" w:w="2268"/>
          </w:tcPr>
          <w:p>
            <w:r>
              <w:rPr>
                <w:rFonts w:ascii="Times New Roman" w:hAnsi="Times New Roman"/>
                <w:sz w:val="20"/>
              </w:rPr>
              <w:t>22:45–23:30</w:t>
            </w:r>
          </w:p>
        </w:tc>
        <w:tc>
          <w:tcPr>
            <w:tcW w:type="dxa" w:w="2268"/>
          </w:tcPr>
          <w:p>
            <w:r>
              <w:rPr>
                <w:rFonts w:ascii="Times New Roman" w:hAnsi="Times New Roman"/>
                <w:sz w:val="20"/>
              </w:rPr>
              <w:t>nicht separat bewertet</w:t>
            </w:r>
          </w:p>
        </w:tc>
        <w:tc>
          <w:tcPr>
            <w:tcW w:type="dxa" w:w="2268"/>
          </w:tcPr>
          <w:p>
            <w:r>
              <w:rPr>
                <w:rFonts w:ascii="Times New Roman" w:hAnsi="Times New Roman"/>
                <w:sz w:val="20"/>
              </w:rPr>
              <w:t>suspekt</w:t>
            </w:r>
          </w:p>
        </w:tc>
        <w:tc>
          <w:tcPr>
            <w:tcW w:type="dxa" w:w="2268"/>
          </w:tcPr>
          <w:p>
            <w:r>
              <w:rPr>
                <w:rFonts w:ascii="Times New Roman" w:hAnsi="Times New Roman"/>
                <w:sz w:val="20"/>
              </w:rPr>
              <w:t>Keine</w:t>
            </w:r>
          </w:p>
        </w:tc>
      </w:tr>
      <w:tr>
        <w:tc>
          <w:tcPr>
            <w:tcW w:type="dxa" w:w="2268"/>
          </w:tcPr>
          <w:p>
            <w:r>
              <w:rPr>
                <w:rFonts w:ascii="Times New Roman" w:hAnsi="Times New Roman"/>
                <w:sz w:val="20"/>
              </w:rPr>
              <w:t>23:30–01:12</w:t>
            </w:r>
          </w:p>
        </w:tc>
        <w:tc>
          <w:tcPr>
            <w:tcW w:type="dxa" w:w="2268"/>
          </w:tcPr>
          <w:p>
            <w:r>
              <w:rPr>
                <w:rFonts w:ascii="Times New Roman" w:hAnsi="Times New Roman"/>
                <w:sz w:val="20"/>
              </w:rPr>
              <w:t>suspekt</w:t>
            </w:r>
          </w:p>
        </w:tc>
        <w:tc>
          <w:tcPr>
            <w:tcW w:type="dxa" w:w="2268"/>
          </w:tcPr>
          <w:p>
            <w:r>
              <w:rPr>
                <w:rFonts w:ascii="Times New Roman" w:hAnsi="Times New Roman"/>
                <w:sz w:val="20"/>
              </w:rPr>
              <w:t>pathologisch</w:t>
            </w:r>
          </w:p>
        </w:tc>
        <w:tc>
          <w:tcPr>
            <w:tcW w:type="dxa" w:w="2268"/>
          </w:tcPr>
          <w:p>
            <w:r>
              <w:rPr>
                <w:rFonts w:ascii="Times New Roman" w:hAnsi="Times New Roman"/>
                <w:sz w:val="20"/>
              </w:rPr>
              <w:t>MBU — nein; Arztinfo — unklar</w:t>
            </w:r>
          </w:p>
        </w:tc>
      </w:tr>
      <w:tr>
        <w:tc>
          <w:tcPr>
            <w:tcW w:type="dxa" w:w="2268"/>
          </w:tcPr>
          <w:p>
            <w:r>
              <w:rPr>
                <w:rFonts w:ascii="Times New Roman" w:hAnsi="Times New Roman"/>
                <w:sz w:val="20"/>
              </w:rPr>
              <w:t>01:12–02:30</w:t>
            </w:r>
          </w:p>
        </w:tc>
        <w:tc>
          <w:tcPr>
            <w:tcW w:type="dxa" w:w="2268"/>
          </w:tcPr>
          <w:p>
            <w:r>
              <w:rPr>
                <w:rFonts w:ascii="Times New Roman" w:hAnsi="Times New Roman"/>
                <w:sz w:val="20"/>
              </w:rPr>
              <w:t>suspekt</w:t>
            </w:r>
          </w:p>
        </w:tc>
        <w:tc>
          <w:tcPr>
            <w:tcW w:type="dxa" w:w="2268"/>
          </w:tcPr>
          <w:p>
            <w:r>
              <w:rPr>
                <w:rFonts w:ascii="Times New Roman" w:hAnsi="Times New Roman"/>
                <w:sz w:val="20"/>
              </w:rPr>
              <w:t>pathologisch/abnormal</w:t>
            </w:r>
          </w:p>
        </w:tc>
        <w:tc>
          <w:tcPr>
            <w:tcW w:type="dxa" w:w="2268"/>
          </w:tcPr>
          <w:p>
            <w:r>
              <w:rPr>
                <w:rFonts w:ascii="Times New Roman" w:hAnsi="Times New Roman"/>
                <w:sz w:val="20"/>
              </w:rPr>
              <w:t>MBU „erwogen" / nein</w:t>
            </w:r>
          </w:p>
        </w:tc>
      </w:tr>
      <w:tr>
        <w:tc>
          <w:tcPr>
            <w:tcW w:type="dxa" w:w="2268"/>
          </w:tcPr>
          <w:p>
            <w:r>
              <w:rPr>
                <w:rFonts w:ascii="Times New Roman" w:hAnsi="Times New Roman"/>
                <w:sz w:val="20"/>
              </w:rPr>
              <w:t>02:30–03:05</w:t>
            </w:r>
          </w:p>
        </w:tc>
        <w:tc>
          <w:tcPr>
            <w:tcW w:type="dxa" w:w="2268"/>
          </w:tcPr>
          <w:p>
            <w:r>
              <w:rPr>
                <w:rFonts w:ascii="Times New Roman" w:hAnsi="Times New Roman"/>
                <w:sz w:val="20"/>
              </w:rPr>
              <w:t>(keine Bewertung)</w:t>
            </w:r>
          </w:p>
        </w:tc>
        <w:tc>
          <w:tcPr>
            <w:tcW w:type="dxa" w:w="2268"/>
          </w:tcPr>
          <w:p>
            <w:r>
              <w:rPr>
                <w:rFonts w:ascii="Times New Roman" w:hAnsi="Times New Roman"/>
                <w:sz w:val="20"/>
              </w:rPr>
              <w:t>abnormal</w:t>
            </w:r>
          </w:p>
        </w:tc>
        <w:tc>
          <w:tcPr>
            <w:tcW w:type="dxa" w:w="2268"/>
          </w:tcPr>
          <w:p>
            <w:r>
              <w:rPr>
                <w:rFonts w:ascii="Times New Roman" w:hAnsi="Times New Roman"/>
                <w:sz w:val="20"/>
              </w:rPr>
              <w:t>pH-Eintrag, sonst keine</w:t>
            </w:r>
          </w:p>
        </w:tc>
      </w:tr>
      <w:tr>
        <w:tc>
          <w:tcPr>
            <w:tcW w:type="dxa" w:w="2268"/>
          </w:tcPr>
          <w:p>
            <w:r>
              <w:rPr>
                <w:rFonts w:ascii="Times New Roman" w:hAnsi="Times New Roman"/>
                <w:sz w:val="20"/>
              </w:rPr>
              <w:t>03:05–03:47</w:t>
            </w:r>
          </w:p>
        </w:tc>
        <w:tc>
          <w:tcPr>
            <w:tcW w:type="dxa" w:w="2268"/>
          </w:tcPr>
          <w:p>
            <w:r>
              <w:rPr>
                <w:rFonts w:ascii="Times New Roman" w:hAnsi="Times New Roman"/>
                <w:sz w:val="20"/>
              </w:rPr>
              <w:t>—</w:t>
            </w:r>
          </w:p>
        </w:tc>
        <w:tc>
          <w:tcPr>
            <w:tcW w:type="dxa" w:w="2268"/>
          </w:tcPr>
          <w:p>
            <w:r>
              <w:rPr>
                <w:rFonts w:ascii="Times New Roman" w:hAnsi="Times New Roman"/>
                <w:sz w:val="20"/>
              </w:rPr>
              <w:t>fehlt</w:t>
            </w:r>
          </w:p>
        </w:tc>
        <w:tc>
          <w:tcPr>
            <w:tcW w:type="dxa" w:w="2268"/>
          </w:tcPr>
          <w:p>
            <w:r>
              <w:rPr>
                <w:rFonts w:ascii="Times New Roman" w:hAnsi="Times New Roman"/>
                <w:sz w:val="20"/>
              </w:rPr>
              <w:t>Notsectio</w:t>
            </w:r>
          </w:p>
        </w:tc>
      </w:tr>
    </w:tbl>
    <w:p>
      <w:pPr>
        <w:jc w:val="left"/>
      </w:pPr>
      <w:r>
        <w:t>FIGO-Klassifikation 2015: normal / suspekt / pathologisch. DGGG S3 2020: entsprechend grün / gelb / rot.</w:t>
      </w:r>
    </w:p>
    <w:p/>
    <w:p>
      <w:pPr>
        <w:pStyle w:val="Heading2"/>
      </w:pPr>
      <w:r>
        <w:rPr>
          <w:rFonts w:ascii="Times New Roman" w:hAnsi="Times New Roman"/>
        </w:rPr>
        <w:t>Offene Fragen für Sachverständige</w:t>
      </w:r>
    </w:p>
    <w:p>
      <w:pPr>
        <w:pStyle w:val="ListNumber"/>
      </w:pPr>
      <w:r>
        <w:t>Wäre eine MBU um 23:30 Uhr mit dem vorliegenden CTG-Bild leitliniengerecht indiziert gewesen?</w:t>
      </w:r>
    </w:p>
    <w:p>
      <w:pPr>
        <w:pStyle w:val="ListNumber"/>
      </w:pPr>
      <w:r>
        <w:t>Zu welchem Zeitpunkt war eine Sectio-Indikation unabweisbar?</w:t>
      </w:r>
    </w:p>
    <w:p>
      <w:pPr>
        <w:pStyle w:val="ListNumber"/>
      </w:pPr>
      <w:r>
        <w:t>Ist der pH-Wert 7,28 um 02:30 Uhr mit dem CTG-Bild vereinbar, und wenn ja, wie?</w:t>
      </w:r>
    </w:p>
    <w:p>
      <w:pPr>
        <w:pStyle w:val="ListNumber"/>
      </w:pPr>
      <w:r>
        <w:t>Welcher Zeitverlust von der Entscheidung zur Notsectio bis zur Kindsentbindung (03:47→03:54) ist dem Krankenhaus zuzurechnen?</w:t>
      </w:r>
    </w:p>
    <w:p>
      <w:pPr>
        <w:pStyle w:val="ListNumber"/>
      </w:pPr>
      <w:r>
        <w:t>Wie hätte ein zeitgerechter Eingriff (z.B. 01:30 Uhr) das neurologische Outcome verändert (Kausalitätsfrage)?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