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Zusammenfassung des Sachverständigengutachtens</w:t>
      </w:r>
    </w:p>
    <w:p>
      <w:pPr>
        <w:jc w:val="left"/>
      </w:pPr>
      <w:r>
        <w:t>Gutachten im Auftrag der Gutachter- und Schlichtungsstelle der ÄK Niedersachsen, Aktenzeichen GS-2024-3817-NI</w:t>
      </w:r>
    </w:p>
    <w:p>
      <w:pPr>
        <w:jc w:val="left"/>
      </w:pPr>
      <w:r>
        <w:t>Erstgutachten Geburtshilfe: Prof. Dr. med. [M.-G.], Fachärztin Frauenheilkunde und Geburtshilfe, leitende Ärztin [Universitätsklinikum, anonymisiert], 14. März 2025, 22 Seiten.</w:t>
      </w:r>
    </w:p>
    <w:p>
      <w:pPr>
        <w:jc w:val="left"/>
      </w:pPr>
      <w:r>
        <w:t>Ergänzungsgutachten Neonatologie/Neuropädiatrie: Dr. med. [P.-R.], Facharzt Neonatologie und Neuropädiatrie, Kinderklinik [anonymisiert], 14. März 2025, 11 Seiten.</w:t>
      </w:r>
    </w:p>
    <w:p>
      <w:pPr>
        <w:jc w:val="left"/>
      </w:pPr>
      <w:r>
        <w:t>Diese Zusammenfassung wurde von RAin Wachhorst aus den Gutachtenoriginalen erstellt. Seitenangaben beziehen sich auf die Originale (liegen in der Akte). Nicht zitiert, nur paraphrasiert, um Verwertbarkeit zu sichern.</w:t>
      </w:r>
    </w:p>
    <w:p/>
    <w:p>
      <w:pPr>
        <w:pStyle w:val="Heading2"/>
      </w:pPr>
      <w:r>
        <w:rPr>
          <w:rFonts w:ascii="Times New Roman" w:hAnsi="Times New Roman"/>
        </w:rPr>
        <w:t>A. Geburtshilfliches Gutachten (Prof. Dr. M.-G.)</w:t>
      </w:r>
    </w:p>
    <w:p>
      <w:pPr>
        <w:pStyle w:val="Heading3"/>
      </w:pPr>
      <w:r>
        <w:rPr>
          <w:rFonts w:ascii="Times New Roman" w:hAnsi="Times New Roman"/>
        </w:rPr>
        <w:t>Ausgangslage und Maßstab</w:t>
      </w:r>
    </w:p>
    <w:p>
      <w:pPr>
        <w:jc w:val="left"/>
      </w:pPr>
      <w:r>
        <w:t>Die Gutachterin legt die DGGG-S3-Leitlinie „Geburtsleitung" (AWMF 015-083, Version 2020, Laufzeit bis 2025) als maßgeblichen Facharztstandard zugrunde. Ergänzend stützt sie sich auf die FIGO-Empfehlungen zur Intrapartum-Überwachung (FIGO 2015) und das NICE-Guideline CG190 (Intrapartum Care, 2014, aktualisiert 2023).</w:t>
      </w:r>
    </w:p>
    <w:p>
      <w:pPr>
        <w:jc w:val="left"/>
      </w:pPr>
      <w:r>
        <w:t>Die Gutachterin stellt klar, dass für ein Geburtshilfe-Level-II-Klinikum (wie das Evangelische Klinikum Bad Salzdetfurth) kein niedrigerer Standard gilt; Level II bedeutet eine bestimmte Mindestausstattung, nicht einen abgesenkten Fachstandard.</w:t>
      </w:r>
    </w:p>
    <w:p>
      <w:pPr>
        <w:pStyle w:val="Heading3"/>
      </w:pPr>
      <w:r>
        <w:rPr>
          <w:rFonts w:ascii="Times New Roman" w:hAnsi="Times New Roman"/>
        </w:rPr>
        <w:t>Befund zum CTG</w:t>
      </w:r>
    </w:p>
    <w:p>
      <w:pPr>
        <w:jc w:val="left"/>
      </w:pPr>
      <w:r>
        <w:t>Gutachterin M.-G. analysiert die vorliegenden CTG-Bögen 1–4 detailliert (S. 4–10 des Gutachtens):</w:t>
      </w:r>
    </w:p>
    <w:p>
      <w:pPr>
        <w:jc w:val="left"/>
      </w:pPr>
      <w:r>
        <w:rPr>
          <w:b/>
        </w:rPr>
        <w:t>Bogen 1 (21:51–22:45):</w:t>
      </w:r>
      <w:r>
        <w:t xml:space="preserve"> Grenzwertig. Basalfrequenz 110–115 bpm, variable Dezelerationen, keine Akzelerationen. Bewertung: suspekt nach FIGO. Nicht eindeutig pathologisch, aber eine ärztliche Beurteilung wäre leitliniengemäß gewesen.</w:t>
      </w:r>
    </w:p>
    <w:p>
      <w:pPr>
        <w:jc w:val="left"/>
      </w:pPr>
      <w:r>
        <w:rPr>
          <w:b/>
        </w:rPr>
        <w:t>Bogen 2 (22:45–01:12):</w:t>
      </w:r>
      <w:r>
        <w:t xml:space="preserve"> Ab 23:25 Uhr eindeutig späte Dezelerationen, definiert als Beginn nach Kontraktionsgipfel, langsame Erholung. Ab 23:55 Uhr bei &gt; 50% der Kontraktionen. Basalfrequenz fällt auf 105 bpm. Variabilität eingeschränkt (&lt; 5 bpm ab ca. 00:30 Uhr). Nach FIGO-Klassifikation 2015: pathologisch ab spätestens 23:55 Uhr. Zitat (S. 8): „Das vorliegende Muster von anhaltenden späten Dezelerationen mit eingeschränkter Variabilität entspricht einem pathologischen CTG, für das die Leitlinie unverzüglich eine Mikroblutuntersuchung oder — sofern diese nicht durchführbar oder das Ergebnis kritisch ist — eine sofortige Sectioentscheidung fordert."</w:t>
      </w:r>
    </w:p>
    <w:p>
      <w:pPr>
        <w:jc w:val="left"/>
      </w:pPr>
      <w:r>
        <w:t>Die 8-minütige Unterbrechung (01:26–01:34) beurteilt M.-G. als technisch möglicherweise erklärbar, aber im Kontext des Schichtwechsels auffällig.</w:t>
      </w:r>
    </w:p>
    <w:p>
      <w:pPr>
        <w:jc w:val="left"/>
      </w:pPr>
      <w:r>
        <w:rPr>
          <w:b/>
        </w:rPr>
        <w:t>Bogen 3 (01:12–02:30):</w:t>
      </w:r>
      <w:r>
        <w:t xml:space="preserve"> Klar pathologisch. Eingeschränkte Variabilität (3–4 bpm), späte Dezelerationen bei jeder Kontraktion. Zitat (S. 9): „Es handelt sich um ein eindeutig pathologisches CTG-Muster, das eine sofortige Entscheidung erfordert."</w:t>
      </w:r>
    </w:p>
    <w:p>
      <w:pPr>
        <w:jc w:val="left"/>
      </w:pPr>
      <w:r>
        <w:rPr>
          <w:b/>
        </w:rPr>
        <w:t>pH-Eintrag 02:30 Uhr:</w:t>
      </w:r>
      <w:r>
        <w:t xml:space="preserve"> M.-G. formuliert vorsichtig: Der Wert 7,28 sei nicht a priori falsch, aber ohne Dokumentation der Messmethode (kapilläre Blutgasanalyse mit Angabe von pO2 und BE, venöser Nabelschnurblutgasanalyse ist nicht in dieser Phase möglich) könne er nicht bewertet werden. Die Messung fehlt in der Labor-EDV des Klinikums laut der der Schlichtungsstelle vorgelegten Labor-Auskunft der Klinik. Es liegt also kein dokumentierter Laborwert für diesen Zeitpunkt vor.</w:t>
      </w:r>
    </w:p>
    <w:p>
      <w:pPr>
        <w:jc w:val="left"/>
      </w:pPr>
      <w:r>
        <w:rPr>
          <w:b/>
        </w:rPr>
        <w:t>Bogen 5 fehlt:</w:t>
      </w:r>
      <w:r>
        <w:t xml:space="preserve"> M.-G. vermerkt, sie habe nach Auskunft des Aktenkonvoluts Bogen 5 nicht vorgefunden. Die letzten Minuten vor der Notsectio könnten klinisch entscheidend für die Abgrenzung zwischen einem vermeidbaren und einem unvermeidbaren Schaden gewesen sein.</w:t>
      </w:r>
    </w:p>
    <w:p>
      <w:pPr>
        <w:pStyle w:val="Heading3"/>
      </w:pPr>
      <w:r>
        <w:rPr>
          <w:rFonts w:ascii="Times New Roman" w:hAnsi="Times New Roman"/>
        </w:rPr>
        <w:t>Schichtübergabe</w:t>
      </w:r>
    </w:p>
    <w:p>
      <w:pPr>
        <w:jc w:val="left"/>
      </w:pPr>
      <w:r>
        <w:t>M.-G. wertet die Übergabedokumentation von Hebamme Sander an Hebamme Pfletschinger als unzureichend. Zitat (S. 12): „Eine ordnungsgemäße geburtshilfliche Übergabe bei einem Risikokollektiv (Posttermin, pathologisches CTG) hätte schriftlich den aktuellen CTG-Befund, die Basalfrequenz, das Dezelerationsmuster und — sofern keine MBU durchgeführt wurde — den Hinweis auf diese fehlende Maßnahme enthalten müssen."</w:t>
      </w:r>
    </w:p>
    <w:p>
      <w:pPr>
        <w:pStyle w:val="Heading3"/>
      </w:pPr>
      <w:r>
        <w:rPr>
          <w:rFonts w:ascii="Times New Roman" w:hAnsi="Times New Roman"/>
        </w:rPr>
        <w:t>Behandlungsfehler-Feststellung (Geburtshilfe)</w:t>
      </w:r>
    </w:p>
    <w:p>
      <w:pPr>
        <w:jc w:val="left"/>
      </w:pPr>
      <w:r>
        <w:t>M.-G. kommt zu folgender Einschätzung (S. 14–15):</w:t>
      </w:r>
    </w:p>
    <w:p>
      <w:pPr>
        <w:pStyle w:val="ListNumber"/>
      </w:pPr>
      <w:r>
        <w:t>Das Unterlassen einer MBU ab 23:30 Uhr stellt einen Verstoß gegen den Facharztstandard dar.</w:t>
      </w:r>
    </w:p>
    <w:p>
      <w:pPr>
        <w:pStyle w:val="ListNumber"/>
      </w:pPr>
      <w:r>
        <w:t>Das Ausbleiben einer ärztlichen Sectio-Indikationsprüfung bis 03:47 Uhr stellt bei dem vorliegenden CTG-Muster einen Verstoß gegen den Facharztstandard dar.</w:t>
      </w:r>
    </w:p>
    <w:p>
      <w:pPr>
        <w:pStyle w:val="ListNumber"/>
      </w:pPr>
      <w:r>
        <w:t>Die Übergabedokumentation genügt den Anforderungen der DGGG und der klinischen Praxis nicht.</w:t>
      </w:r>
    </w:p>
    <w:p>
      <w:pPr>
        <w:pStyle w:val="ListNumber"/>
      </w:pPr>
      <w:r>
        <w:t>Ein Aufklärungsgespräch über Sectio-Optionen ist für den Zeitraum 23:30–03:46 Uhr nicht dokumentiert; der Standard gebietet ein solches Gespräch bei pathologischem CTG, sofern Zeit verbleibt.</w:t>
      </w:r>
    </w:p>
    <w:p/>
    <w:p>
      <w:pPr>
        <w:pStyle w:val="Heading2"/>
      </w:pPr>
      <w:r>
        <w:rPr>
          <w:rFonts w:ascii="Times New Roman" w:hAnsi="Times New Roman"/>
        </w:rPr>
        <w:t>B. Neonatologisches / Neuropädiatrisches Gutachten (Dr. P.-R.)</w:t>
      </w:r>
    </w:p>
    <w:p>
      <w:pPr>
        <w:pStyle w:val="Heading3"/>
      </w:pPr>
      <w:r>
        <w:rPr>
          <w:rFonts w:ascii="Times New Roman" w:hAnsi="Times New Roman"/>
        </w:rPr>
        <w:t>Befund Nabelschnur-pH</w:t>
      </w:r>
    </w:p>
    <w:p>
      <w:pPr>
        <w:jc w:val="left"/>
      </w:pPr>
      <w:r>
        <w:t>Ein Nabelschnur-pH von 6,92 und ein BE von −18,5 mmol/L belegen eine schwere metabolische Azidose. Zitat (S. 3): „Diese Werte sind Ausdruck einer peripartalen Asphyxie, die sich über einen längeren Zeitraum entwickelt hat. Eine akute, innerhalb weniger Minuten eintretende Asphyxie (z.B. Nabelschnurvorfall) hätte andere Ausgangswerte erzeugt."</w:t>
      </w:r>
    </w:p>
    <w:p>
      <w:pPr>
        <w:jc w:val="left"/>
      </w:pPr>
      <w:r>
        <w:t>Das chronische Verlaufsmuster der CTG-Veränderungen ist mit dem Laborwert konsistent.</w:t>
      </w:r>
    </w:p>
    <w:p>
      <w:pPr>
        <w:pStyle w:val="Heading3"/>
      </w:pPr>
      <w:r>
        <w:rPr>
          <w:rFonts w:ascii="Times New Roman" w:hAnsi="Times New Roman"/>
        </w:rPr>
        <w:t>Hypothermie-Therapie und Verlauf</w:t>
      </w:r>
    </w:p>
    <w:p>
      <w:pPr>
        <w:jc w:val="left"/>
      </w:pPr>
      <w:r>
        <w:t>Die Hypothermie-Behandlung begann zeitgerecht (innerhalb 6 Stunden). Das Therapieergebnis — schwere HIE mit ausgedehnten kortikalen und subkortikalen Läsionen, Schädigung Basalganglien/Thalamus/Hirnstamm — entspricht dem schwersten Verlaufstyp.</w:t>
      </w:r>
    </w:p>
    <w:p>
      <w:pPr>
        <w:pStyle w:val="Heading3"/>
      </w:pPr>
      <w:r>
        <w:rPr>
          <w:rFonts w:ascii="Times New Roman" w:hAnsi="Times New Roman"/>
        </w:rPr>
        <w:t>Kausalitätsaussage</w:t>
      </w:r>
    </w:p>
    <w:p>
      <w:pPr>
        <w:jc w:val="left"/>
      </w:pPr>
      <w:r>
        <w:t>Dr. P.-R. (S. 7–9): „Es ist aus neonatologischer und neuropädiatrischer Sicht überwiegend wahrscheinlich, dass eine frühere Entbindung — angenommener Zeitpunkt: bis spätestens 02:00 Uhr — zu einer weniger ausgeprägten peripartalen Azidose und damit mit hoher Wahrscheinlichkeit zu einem besseren neurologischen Outcome geführt hätte. Ob das Vollbild des ICP Grad III verhindert worden wäre, lässt sich nicht mit Sicherheit sagen. Schäden im Bereich der Basalganglien können auch bei schneller Intervention entstehen, wenn die vorausgehende Azidosephase bereits kritische Schwellenwerte überschritten hat."</w:t>
      </w:r>
    </w:p>
    <w:p>
      <w:pPr>
        <w:jc w:val="left"/>
      </w:pPr>
      <w:r>
        <w:t>Die Gutachter verweisen für die vollständige Kausalitätsfrage auf ein gerichtliches Gutachten mit Direktbegutachtung der Patientin und Einsichtnahme in sämtliche Originalunterlagen.</w:t>
      </w:r>
    </w:p>
    <w:p/>
    <w:p>
      <w:pPr>
        <w:pStyle w:val="Heading2"/>
      </w:pPr>
      <w:r>
        <w:rPr>
          <w:rFonts w:ascii="Times New Roman" w:hAnsi="Times New Roman"/>
        </w:rPr>
        <w:t>C. Bewertung für das Verfahren</w:t>
      </w:r>
    </w:p>
    <w:p>
      <w:pPr>
        <w:jc w:val="left"/>
      </w:pPr>
      <w:r>
        <w:t>Das Gutachten ist in seiner Behandlungsfehlerfeststellung klar und für die Klage verwertbar. Die Kausalitätsfeststellung ist eingeschränkt, aber für eine Beweislastverschiebung nach § 630h Abs. 5 BGB (grober Behandlungsfehler) ausreichend zu prüfen: Bei einem über 90 Minuten andauernden pathologischen CTG ohne jede Reaktion kann ein grober Behandlungsfehler nicht ausgeschlossen werden, was die Beweislast für die Kausalität umkehren würde.</w:t>
      </w:r>
    </w:p>
    <w:p>
      <w:pPr>
        <w:jc w:val="left"/>
      </w:pPr>
      <w:r>
        <w:t>Die fehlende pH-Dokumentation um 02:30 Uhr und der fehlende CTG-Bogen 5 sind für die Beweislastverschiebung nach § 630h Abs. 3 BGB von erheblicher Bedeutung.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