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Schadensaufstellung — Helene Meinhardt und Lina Meinhardt</w:t>
      </w:r>
    </w:p>
    <w:p>
      <w:pPr>
        <w:jc w:val="left"/>
      </w:pPr>
      <w:r>
        <w:t>Erstellt: Mai 2025, RAin Wachhorst unter Mitwirkung von RA Dr. Reuss (Sozialrecht)</w:t>
      </w:r>
    </w:p>
    <w:p>
      <w:pPr>
        <w:jc w:val="left"/>
      </w:pPr>
      <w:r>
        <w:t>Grundlage: Belege Mandantin, Bescheide Pflegekasse, Arbeitgeberbescheinigung, Schmerzensgeld-Übersichten.</w:t>
      </w:r>
    </w:p>
    <w:p>
      <w:pPr>
        <w:jc w:val="left"/>
      </w:pPr>
      <w:r>
        <w:t xml:space="preserve">Vollständige Zahlenübersicht: siehe XLSX-Anhang </w:t>
      </w:r>
      <w:r>
        <w:t>schadensaufstellung_helene.xlsx</w:t>
      </w:r>
    </w:p>
    <w:p/>
    <w:p>
      <w:pPr>
        <w:pStyle w:val="Heading2"/>
      </w:pPr>
      <w:r>
        <w:rPr>
          <w:rFonts w:ascii="Times New Roman" w:hAnsi="Times New Roman"/>
        </w:rPr>
        <w:t>I. Materieller Schaden Helene Meinhardt</w:t>
      </w:r>
    </w:p>
    <w:p>
      <w:pPr>
        <w:pStyle w:val="Heading3"/>
      </w:pPr>
      <w:r>
        <w:rPr>
          <w:rFonts w:ascii="Times New Roman" w:hAnsi="Times New Roman"/>
        </w:rPr>
        <w:t>1. Pflegekosten 2024–2025 (Ist-Ausgaben)</w:t>
      </w:r>
    </w:p>
    <w:p>
      <w:pPr>
        <w:jc w:val="left"/>
      </w:pPr>
      <w:r>
        <w:t>Helene hat Pflegegrad 5. Der Eigenanteil nach Abzug der GKV-Leistungen beläuft sich auf:</w:t>
      </w:r>
    </w:p>
    <w:p>
      <w:pPr>
        <w:pStyle w:val="ListBullet"/>
      </w:pPr>
      <w:r>
        <w:t>Ambulante Pflegeleistungen (zweimal täglich, Pflegedienst Vital-Care Hildesheim): EUR 3.850 monatlich Eigenanteil</w:t>
      </w:r>
    </w:p>
    <w:p>
      <w:pPr>
        <w:pStyle w:val="ListBullet"/>
      </w:pPr>
      <w:r>
        <w:t xml:space="preserve">Zeitraum August 2024 bis Mai 2025: 10 Monate × EUR 3.850 = </w:t>
      </w:r>
      <w:r>
        <w:rPr>
          <w:b/>
        </w:rPr>
        <w:t>EUR 38.500</w:t>
      </w:r>
    </w:p>
    <w:p>
      <w:pPr>
        <w:jc w:val="left"/>
      </w:pPr>
      <w:r>
        <w:t>Zusätzlich:</w:t>
      </w:r>
    </w:p>
    <w:p>
      <w:pPr>
        <w:pStyle w:val="ListBullet"/>
      </w:pPr>
      <w:r>
        <w:t>Hilfsmittel 2024 (Spezialrollstuhl, Lagerungs-Orthesen, Spezialfleece): EUR 4.200 (Eigenanteil nach GKV-Kostübernahme teilweise)</w:t>
      </w:r>
    </w:p>
    <w:p>
      <w:pPr>
        <w:pStyle w:val="ListBullet"/>
      </w:pPr>
      <w:r>
        <w:t>Umbaumaßnahmen Wohnung (Pflegegast-Lift, Rollstuhlrampe, barrierefreies Bad): EUR 9.400 (Eigenanteil, Zuschuss Wohnraumanpassung noch nicht bewilligt)</w:t>
      </w:r>
    </w:p>
    <w:p>
      <w:pPr>
        <w:pStyle w:val="ListBullet"/>
      </w:pPr>
      <w:r>
        <w:t>Therapiekosten nicht GKV-erstattet (Vojta-Therapie privat, Hippotherapie, Frühförderstelle Zuzahlung): EUR 5.700</w:t>
      </w:r>
    </w:p>
    <w:p>
      <w:pPr>
        <w:jc w:val="left"/>
      </w:pPr>
      <w:r>
        <w:rPr>
          <w:b/>
        </w:rPr>
        <w:t>Ist-Schaden Helene 2024–2025: ca. EUR 57.800</w:t>
      </w:r>
    </w:p>
    <w:p>
      <w:pPr>
        <w:pStyle w:val="Heading3"/>
      </w:pPr>
      <w:r>
        <w:rPr>
          <w:rFonts w:ascii="Times New Roman" w:hAnsi="Times New Roman"/>
        </w:rPr>
        <w:t>2. Prognostizierter Pflegeaufwand Helene bis 18 Jahre</w:t>
      </w:r>
    </w:p>
    <w:p>
      <w:pPr>
        <w:jc w:val="left"/>
      </w:pPr>
      <w:r>
        <w:t>Ausgangspunkt: Aktuelle Pflegekosten EUR 3.850 Eigenanteil/Monat plus Inflationsanpassung 2 % p.a., plus altersbedingte Anpassung der Pflegeleistungen (ab ca. 6 Jahren deutlich erhöhter Aufwand für Hilfsmittel, Therapien, Fahrtkosten). Konservativer Schätzwert (nominal, ohne Abzinsung):</w:t>
      </w:r>
    </w:p>
    <w:p>
      <w:pPr>
        <w:pStyle w:val="ListBullet"/>
      </w:pPr>
      <w:r>
        <w:t>Phase 1 (2–6 Jahre, 4 Jahre × 12 × EUR 4.000): EUR 192.000</w:t>
      </w:r>
    </w:p>
    <w:p>
      <w:pPr>
        <w:pStyle w:val="ListBullet"/>
      </w:pPr>
      <w:r>
        <w:t>Phase 2 (7–12 Jahre, 6 Jahre × 12 × EUR 5.000): EUR 360.000</w:t>
      </w:r>
    </w:p>
    <w:p>
      <w:pPr>
        <w:pStyle w:val="ListBullet"/>
      </w:pPr>
      <w:r>
        <w:t>Phase 3 (13–18 Jahre, 6 Jahre × 12 × EUR 6.200): EUR 446.400</w:t>
      </w:r>
    </w:p>
    <w:p>
      <w:pPr>
        <w:jc w:val="left"/>
      </w:pPr>
      <w:r>
        <w:rPr>
          <w:b/>
        </w:rPr>
        <w:t>Prognostizierter Pflegeschaden bis 18 Jahre: ca. EUR 998.400 (nominal)</w:t>
      </w:r>
    </w:p>
    <w:p>
      <w:pPr>
        <w:jc w:val="left"/>
      </w:pPr>
      <w:r>
        <w:t>Für die Klage wird der Anspruch auf Feststellung des materiellen Schadens über das bereits Berechnete hinaus als Feststellungsklage geltend gemacht; bezifferter Anteil: EUR 57.800 (Ist-Schaden).</w:t>
      </w:r>
    </w:p>
    <w:p>
      <w:pPr>
        <w:pStyle w:val="Heading3"/>
      </w:pPr>
      <w:r>
        <w:rPr>
          <w:rFonts w:ascii="Times New Roman" w:hAnsi="Times New Roman"/>
        </w:rPr>
        <w:t>3. Zukünftiger Schaden Helene nach dem 18. Lebensjahr</w:t>
      </w:r>
    </w:p>
    <w:p>
      <w:pPr>
        <w:jc w:val="left"/>
      </w:pPr>
      <w:r>
        <w:t>Als Feststellungsklage; Quantifizierung nach gutachterlicher Einschätzung und ggf. Rentenprinzip. Lebenserwartung nach aktuellem Kenntnisstand nicht signifikant verkürzt; Pflegebedarf dauerhaft, voraussichtlich steigend.</w:t>
      </w:r>
    </w:p>
    <w:p/>
    <w:p>
      <w:pPr>
        <w:pStyle w:val="Heading2"/>
      </w:pPr>
      <w:r>
        <w:rPr>
          <w:rFonts w:ascii="Times New Roman" w:hAnsi="Times New Roman"/>
        </w:rPr>
        <w:t>II. Materieller Schaden Lina Meinhardt</w:t>
      </w:r>
    </w:p>
    <w:p>
      <w:pPr>
        <w:pStyle w:val="Heading3"/>
      </w:pPr>
      <w:r>
        <w:rPr>
          <w:rFonts w:ascii="Times New Roman" w:hAnsi="Times New Roman"/>
        </w:rPr>
        <w:t>1. Verdienstausfall</w:t>
      </w:r>
    </w:p>
    <w:p>
      <w:pPr>
        <w:jc w:val="left"/>
      </w:pPr>
      <w:r>
        <w:t>Frau Meinhardt, Lehrerin an Grundschule, Beschäftigung 100 % (A 10, Stufe 3, ca. EUR 3.650 brutto), war von August 2024 bis März 2025 (8 Monate) vollständig aus dem Beruf ausgeschieden (zunächst Mutterschutz, dann pflegebedingter Arbeitszeitausfall wegen Helene, kein regulärer Elterngeldbezug über September 2024 hinaus).</w:t>
      </w:r>
    </w:p>
    <w:p>
      <w:pPr>
        <w:jc w:val="left"/>
      </w:pPr>
      <w:r>
        <w:t xml:space="preserve">Netto-Verdienstausfall: ca. EUR 2.700/Monat × 8 Monate = </w:t>
      </w:r>
      <w:r>
        <w:rPr>
          <w:b/>
        </w:rPr>
        <w:t>EUR 21.600</w:t>
      </w:r>
    </w:p>
    <w:p>
      <w:pPr>
        <w:jc w:val="left"/>
      </w:pPr>
      <w:r>
        <w:t>Ab April 2025: Frau Meinhardt arbeitet auf 50 %; prognostizierte Dauereinschränkung. Hierzu Feststellungsantrag.</w:t>
      </w:r>
    </w:p>
    <w:p>
      <w:pPr>
        <w:pStyle w:val="Heading3"/>
      </w:pPr>
      <w:r>
        <w:rPr>
          <w:rFonts w:ascii="Times New Roman" w:hAnsi="Times New Roman"/>
        </w:rPr>
        <w:t>2. Eigene Heilbehandlungskosten</w:t>
      </w:r>
    </w:p>
    <w:p>
      <w:pPr>
        <w:jc w:val="left"/>
      </w:pPr>
      <w:r>
        <w:t>Kosten für psychotherapeutische Behandlung Frau Meinhardt (posttraumatische Belastungsstörung, Diagnose September 2024, ICD-10 F43.1): EUR 2.400 (Eigenanteil, 16 Sitzungen privat bezahlt, weil GKV-Kostenübernahme ablehnte).</w:t>
      </w:r>
    </w:p>
    <w:p/>
    <w:p>
      <w:pPr>
        <w:pStyle w:val="Heading2"/>
      </w:pPr>
      <w:r>
        <w:rPr>
          <w:rFonts w:ascii="Times New Roman" w:hAnsi="Times New Roman"/>
        </w:rPr>
        <w:t>III. Immaterieller Schaden — Schmerzensgeld</w:t>
      </w:r>
    </w:p>
    <w:p>
      <w:pPr>
        <w:pStyle w:val="Heading3"/>
      </w:pPr>
      <w:r>
        <w:rPr>
          <w:rFonts w:ascii="Times New Roman" w:hAnsi="Times New Roman"/>
        </w:rPr>
        <w:t>Helene Meinhardt</w:t>
      </w:r>
    </w:p>
    <w:p>
      <w:pPr>
        <w:jc w:val="left"/>
      </w:pPr>
      <w:r>
        <w:t>HIE Grad III, ICP Grad III, GMFCS V: schwerste Behinderung, keine eigenständige Mobilität, keine verbale Kommunikation, dauerhafte Abhängigkeit von Fremdpflege, Fütterung per PEG, Spastik beider Armextremitäten.</w:t>
      </w:r>
    </w:p>
    <w:p>
      <w:pPr>
        <w:jc w:val="left"/>
      </w:pPr>
      <w:r>
        <w:t>Vergleichsfälle aus Rechtsprechung (OLG-Tabelle, Stand 2024):</w:t>
      </w:r>
    </w:p>
    <w:p>
      <w:pPr>
        <w:pStyle w:val="ListBullet"/>
      </w:pPr>
      <w:r>
        <w:t>OLG Hamm 26.01.2010, I-3 U 144/09: Geburtsschaden, Tetraplegie, EUR 300.000 Schmerzensgeld</w:t>
      </w:r>
    </w:p>
    <w:p>
      <w:pPr>
        <w:pStyle w:val="ListBullet"/>
      </w:pPr>
      <w:r>
        <w:t>OLG München 21.07.2011, 1 U 1040/10: Geburtsschaden HIE, EUR 400.000</w:t>
      </w:r>
    </w:p>
    <w:p>
      <w:pPr>
        <w:pStyle w:val="ListBullet"/>
      </w:pPr>
      <w:r>
        <w:t>OLG Naumburg 27.11.2014, 1 U 106/13: Geburtsschaden, schwere Behinderung, EUR 350.000</w:t>
      </w:r>
    </w:p>
    <w:p>
      <w:pPr>
        <w:pStyle w:val="ListBullet"/>
      </w:pPr>
      <w:r>
        <w:t>LG Dortmund 2019 (nicht rechtskräftig): EUR 500.000</w:t>
      </w:r>
    </w:p>
    <w:p>
      <w:pPr>
        <w:jc w:val="left"/>
      </w:pPr>
      <w:r>
        <w:t xml:space="preserve">Ansatz Kanzlei: </w:t>
      </w:r>
      <w:r>
        <w:rPr>
          <w:b/>
        </w:rPr>
        <w:t>mindestens EUR 350.000</w:t>
      </w:r>
      <w:r>
        <w:t>, Antrag auf Hauptantrag EUR 400.000.</w:t>
      </w:r>
    </w:p>
    <w:p>
      <w:pPr>
        <w:pStyle w:val="Heading3"/>
      </w:pPr>
      <w:r>
        <w:rPr>
          <w:rFonts w:ascii="Times New Roman" w:hAnsi="Times New Roman"/>
        </w:rPr>
        <w:t>Lina Meinhardt</w:t>
      </w:r>
    </w:p>
    <w:p>
      <w:pPr>
        <w:jc w:val="left"/>
      </w:pPr>
      <w:r>
        <w:t>Eigenes Schmerzensgeld für:</w:t>
      </w:r>
    </w:p>
    <w:p>
      <w:pPr>
        <w:pStyle w:val="ListBullet"/>
      </w:pPr>
      <w:r>
        <w:t>psychisches Trauma, posttraumatische Belastungsstörung (diagnostiziert)</w:t>
      </w:r>
    </w:p>
    <w:p>
      <w:pPr>
        <w:pStyle w:val="ListBullet"/>
      </w:pPr>
      <w:r>
        <w:t>körperliche Folgen der Notsectio (Nahtschmerzen, Vernarbung, Sensibilitätsstörungen)</w:t>
      </w:r>
    </w:p>
    <w:p>
      <w:pPr>
        <w:pStyle w:val="ListBullet"/>
      </w:pPr>
      <w:r>
        <w:t>anhaltende psychosoziale Einschränkung durch Pflegesituation Tochter</w:t>
      </w:r>
    </w:p>
    <w:p>
      <w:pPr>
        <w:jc w:val="left"/>
      </w:pPr>
      <w:r>
        <w:t>Ansatz: EUR 25.000–40.000, zu bemessen nach Einzelfall.</w:t>
      </w:r>
    </w:p>
    <w:p/>
    <w:p>
      <w:pPr>
        <w:pStyle w:val="Heading2"/>
      </w:pPr>
      <w:r>
        <w:rPr>
          <w:rFonts w:ascii="Times New Roman" w:hAnsi="Times New Roman"/>
        </w:rPr>
        <w:t>IV. Gesamtschadensbild (Orientierungsgröße)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Posten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Schmerzensgeld Helene</w:t>
            </w:r>
          </w:p>
        </w:tc>
        <w:tc>
          <w:tcPr>
            <w:tcW w:type="dxa" w:w="4536"/>
          </w:tcPr>
          <w:p>
            <w:r>
              <w:rPr>
                <w:rFonts w:ascii="Times New Roman" w:hAnsi="Times New Roman"/>
                <w:sz w:val="20"/>
              </w:rPr>
              <w:t>EUR 350.000–400.000</w:t>
            </w:r>
          </w:p>
        </w:tc>
      </w:tr>
      <w:tr>
        <w:tc>
          <w:tcPr>
            <w:tcW w:type="dxa" w:w="4536"/>
          </w:tcPr>
          <w:p>
            <w:r>
              <w:rPr>
                <w:rFonts w:ascii="Times New Roman" w:hAnsi="Times New Roman"/>
                <w:sz w:val="20"/>
              </w:rPr>
              <w:t>Schmerzensgeld Mutter</w:t>
            </w:r>
          </w:p>
        </w:tc>
        <w:tc>
          <w:tcPr>
            <w:tcW w:type="dxa" w:w="4536"/>
          </w:tcPr>
          <w:p>
            <w:r>
              <w:rPr>
                <w:rFonts w:ascii="Times New Roman" w:hAnsi="Times New Roman"/>
                <w:sz w:val="20"/>
              </w:rPr>
              <w:t>EUR 25.000–40.000</w:t>
            </w:r>
          </w:p>
        </w:tc>
      </w:tr>
      <w:tr>
        <w:tc>
          <w:tcPr>
            <w:tcW w:type="dxa" w:w="4536"/>
          </w:tcPr>
          <w:p>
            <w:r>
              <w:rPr>
                <w:rFonts w:ascii="Times New Roman" w:hAnsi="Times New Roman"/>
                <w:sz w:val="20"/>
              </w:rPr>
              <w:t>Materieller Schaden Helene (Ist)</w:t>
            </w:r>
          </w:p>
        </w:tc>
        <w:tc>
          <w:tcPr>
            <w:tcW w:type="dxa" w:w="4536"/>
          </w:tcPr>
          <w:p>
            <w:r>
              <w:rPr>
                <w:rFonts w:ascii="Times New Roman" w:hAnsi="Times New Roman"/>
                <w:sz w:val="20"/>
              </w:rPr>
              <w:t>EUR 57.800</w:t>
            </w:r>
          </w:p>
        </w:tc>
      </w:tr>
      <w:tr>
        <w:tc>
          <w:tcPr>
            <w:tcW w:type="dxa" w:w="4536"/>
          </w:tcPr>
          <w:p>
            <w:r>
              <w:rPr>
                <w:rFonts w:ascii="Times New Roman" w:hAnsi="Times New Roman"/>
                <w:sz w:val="20"/>
              </w:rPr>
              <w:t>Verdienstausfall Mutter</w:t>
            </w:r>
          </w:p>
        </w:tc>
        <w:tc>
          <w:tcPr>
            <w:tcW w:type="dxa" w:w="4536"/>
          </w:tcPr>
          <w:p>
            <w:r>
              <w:rPr>
                <w:rFonts w:ascii="Times New Roman" w:hAnsi="Times New Roman"/>
                <w:sz w:val="20"/>
              </w:rPr>
              <w:t>EUR 21.600</w:t>
            </w:r>
          </w:p>
        </w:tc>
      </w:tr>
      <w:tr>
        <w:tc>
          <w:tcPr>
            <w:tcW w:type="dxa" w:w="4536"/>
          </w:tcPr>
          <w:p>
            <w:r>
              <w:rPr>
                <w:rFonts w:ascii="Times New Roman" w:hAnsi="Times New Roman"/>
                <w:sz w:val="20"/>
              </w:rPr>
              <w:t>Psychotherapiekosten Mutter</w:t>
            </w:r>
          </w:p>
        </w:tc>
        <w:tc>
          <w:tcPr>
            <w:tcW w:type="dxa" w:w="4536"/>
          </w:tcPr>
          <w:p>
            <w:r>
              <w:rPr>
                <w:rFonts w:ascii="Times New Roman" w:hAnsi="Times New Roman"/>
                <w:sz w:val="20"/>
              </w:rPr>
              <w:t>EUR 2.400</w:t>
            </w:r>
          </w:p>
        </w:tc>
      </w:tr>
      <w:tr>
        <w:tc>
          <w:tcPr>
            <w:tcW w:type="dxa" w:w="4536"/>
          </w:tcPr>
          <w:p>
            <w:r>
              <w:rPr>
                <w:rFonts w:ascii="Times New Roman" w:hAnsi="Times New Roman"/>
                <w:b/>
                <w:sz w:val="20"/>
              </w:rPr>
              <w:t>Bezifferte Klageforderung</w:t>
            </w:r>
          </w:p>
        </w:tc>
        <w:tc>
          <w:tcPr>
            <w:tcW w:type="dxa" w:w="4536"/>
          </w:tcPr>
          <w:p>
            <w:r>
              <w:rPr>
                <w:rFonts w:ascii="Times New Roman" w:hAnsi="Times New Roman"/>
                <w:b/>
                <w:sz w:val="20"/>
              </w:rPr>
              <w:t>ca. EUR 457.000–521.800</w:t>
            </w:r>
          </w:p>
        </w:tc>
      </w:tr>
      <w:tr>
        <w:tc>
          <w:tcPr>
            <w:tcW w:type="dxa" w:w="4536"/>
          </w:tcPr>
          <w:p>
            <w:r>
              <w:rPr>
                <w:rFonts w:ascii="Times New Roman" w:hAnsi="Times New Roman"/>
                <w:sz w:val="20"/>
              </w:rPr>
              <w:t>Feststellungsantrag zukünftige Pflegekosten Helene</w:t>
            </w:r>
          </w:p>
        </w:tc>
        <w:tc>
          <w:tcPr>
            <w:tcW w:type="dxa" w:w="4536"/>
          </w:tcPr>
          <w:p>
            <w:r>
              <w:rPr>
                <w:rFonts w:ascii="Times New Roman" w:hAnsi="Times New Roman"/>
                <w:sz w:val="20"/>
              </w:rPr>
              <w:t>unbezifferter Feststellungsantrag</w:t>
            </w:r>
          </w:p>
        </w:tc>
      </w:tr>
      <w:tr>
        <w:tc>
          <w:tcPr>
            <w:tcW w:type="dxa" w:w="4536"/>
          </w:tcPr>
          <w:p>
            <w:r>
              <w:rPr>
                <w:rFonts w:ascii="Times New Roman" w:hAnsi="Times New Roman"/>
                <w:sz w:val="20"/>
              </w:rPr>
              <w:t>Feststellungsantrag Erwerbsminderung Mutter</w:t>
            </w:r>
          </w:p>
        </w:tc>
        <w:tc>
          <w:tcPr>
            <w:tcW w:type="dxa" w:w="4536"/>
          </w:tcPr>
          <w:p>
            <w:r>
              <w:rPr>
                <w:rFonts w:ascii="Times New Roman" w:hAnsi="Times New Roman"/>
                <w:sz w:val="20"/>
              </w:rPr>
              <w:t>unbezifferter Feststellungsantrag</w:t>
            </w:r>
          </w:p>
        </w:tc>
      </w:tr>
    </w:tbl>
    <w:p>
      <w:pPr>
        <w:jc w:val="left"/>
      </w:pPr>
      <w:r>
        <w:t>Streitwert für PKH/Prozesskostenabschätzung: EUR 500.000 (pauschal Hauptforderungen); Streitwert Feststellungsanträge je EUR 50.000 (Schätzung nach § 3 ZPO).</w:t>
      </w:r>
    </w:p>
    <w:p/>
    <w:p>
      <w:pPr>
        <w:pStyle w:val="Heading2"/>
      </w:pPr>
      <w:r>
        <w:rPr>
          <w:rFonts w:ascii="Times New Roman" w:hAnsi="Times New Roman"/>
        </w:rPr>
        <w:t>V. Hinweis Sozialrecht (RA Dr. Reuss)</w:t>
      </w:r>
    </w:p>
    <w:p>
      <w:pPr>
        <w:jc w:val="left"/>
      </w:pPr>
      <w:r>
        <w:t>Pflegegeld und Sachleistungen GKV entlasten den Anspruchsinhaber; nach h.M. und BGH-Rechtsprechung sind GKV-Leistungen auf den Schadensersatzanspruch anzurechnen (§ 86 SGB X Rückgriff Sozialversicherungsträger), soweit der Träger Leistungen erbringt. Frau Meinhardt ist darauf hinzuweisen, dass der Pflegekassenrückgriff auf den Klageerlös möglich ist; die Klage sollte möglichst auch im Einvernehmen mit der Pflegekasse koordiniert werden, um doppelte Durchsetzung zu vermeiden.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