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Behandlungsvertrag § 630a BGB — Analyse und Beweislastregeln</w:t>
      </w:r>
    </w:p>
    <w:p>
      <w:pPr>
        <w:jc w:val="left"/>
      </w:pPr>
      <w:r>
        <w:t>Bearbeiterin: RAin Christina Wachhorst</w:t>
      </w:r>
    </w:p>
    <w:p>
      <w:pPr>
        <w:jc w:val="left"/>
      </w:pPr>
      <w:r>
        <w:t>Stand: April 2025</w:t>
      </w:r>
    </w:p>
    <w:p/>
    <w:p>
      <w:pPr>
        <w:pStyle w:val="Heading2"/>
      </w:pPr>
      <w:r>
        <w:rPr>
          <w:rFonts w:ascii="Times New Roman" w:hAnsi="Times New Roman"/>
        </w:rPr>
        <w:t>1. Grundlagen des Behandlungsvertrags</w:t>
      </w:r>
    </w:p>
    <w:p>
      <w:pPr>
        <w:jc w:val="left"/>
      </w:pPr>
      <w:r>
        <w:t>Mit Aufnahme von Frau Lina Meinhardt in die Geburtshilfe des Evangelischen Klinikums Bad Salzdetfurth am 17. Juli 2024 ist zwischen der Mandantin und der Klinik ein Behandlungsvertrag nach § 630a BGB zustande gekommen. Die ärztliche Leistung war als Sachleistung der GKV zu erbringen; rechtlich-zivilrechtlich besteht der Vertrag dennoch zwischen Patientin und Klinik (BGH 19.07.2016, VI ZR 75/15; BGH 20.03.2018, VI ZR 93/17 zur Haftung des Krankenhausträgers auch im GKV-Verhältnis).</w:t>
      </w:r>
    </w:p>
    <w:p>
      <w:pPr>
        <w:jc w:val="left"/>
      </w:pPr>
      <w:r>
        <w:rPr>
          <w:b/>
        </w:rPr>
        <w:t>Vertragsparteien:</w:t>
      </w:r>
      <w:r>
        <w:t xml:space="preserve"> Patientin Lina Meinhardt (auch als gesetzliche Vertreterin des nasciturus / des geborenen Kindes Helene) und Evangelisches Klinikum Bad Salzdetfurth gGmbH.</w:t>
      </w:r>
    </w:p>
    <w:p>
      <w:pPr>
        <w:jc w:val="left"/>
      </w:pPr>
      <w:r>
        <w:rPr>
          <w:b/>
        </w:rPr>
        <w:t>Inhalt der Leistungspflicht (§ 630a Abs. 2 BGB):</w:t>
      </w:r>
      <w:r>
        <w:t xml:space="preserve"> Die Klinik schuldete geburtshilfliche Behandlung nach dem zum Zeitpunkt der Behandlung anerkannten Stand der medizinischen Wissenschaft und Technik — konkret: nach dem Standard eines erfahrenen Facharztes für Gynäkologie und Geburtshilfe bei einer Level-II-Geburtsklinik.</w:t>
      </w:r>
    </w:p>
    <w:p/>
    <w:p>
      <w:pPr>
        <w:pStyle w:val="Heading2"/>
      </w:pPr>
      <w:r>
        <w:rPr>
          <w:rFonts w:ascii="Times New Roman" w:hAnsi="Times New Roman"/>
        </w:rPr>
        <w:t>2. Pflichten im Einzelnen</w:t>
      </w:r>
    </w:p>
    <w:p>
      <w:pPr>
        <w:pStyle w:val="Heading3"/>
      </w:pPr>
      <w:r>
        <w:rPr>
          <w:rFonts w:ascii="Times New Roman" w:hAnsi="Times New Roman"/>
        </w:rPr>
        <w:t>2.1 Behandlungspflicht (§ 630a Abs. 2 BGB)</w:t>
      </w:r>
    </w:p>
    <w:p>
      <w:pPr>
        <w:jc w:val="left"/>
      </w:pPr>
      <w:r>
        <w:t>Die Klinik hatte die Geburt nach dem Stand der medizinischen Wissenschaft zu begleiten. Dazu gehörte:</w:t>
      </w:r>
    </w:p>
    <w:p>
      <w:pPr>
        <w:pStyle w:val="ListBullet"/>
      </w:pPr>
      <w:r>
        <w:t>Kontinuierliches CTG-Monitoring bei Risikoschwangerschaft (Posttermin ET+5)</w:t>
      </w:r>
    </w:p>
    <w:p>
      <w:pPr>
        <w:pStyle w:val="ListBullet"/>
      </w:pPr>
      <w:r>
        <w:t>Ärztliche Bewertung des CTG bei Auffälligkeiten</w:t>
      </w:r>
    </w:p>
    <w:p>
      <w:pPr>
        <w:pStyle w:val="ListBullet"/>
      </w:pPr>
      <w:r>
        <w:t>Einleitung einer MBU oder Sectio-Indikationsüberprüfung bei pathologischem CTG</w:t>
      </w:r>
    </w:p>
    <w:p>
      <w:pPr>
        <w:pStyle w:val="ListBullet"/>
      </w:pPr>
      <w:r>
        <w:t>Dokumentation und Übergabe bei Schichtwechsel</w:t>
      </w:r>
    </w:p>
    <w:p>
      <w:pPr>
        <w:pStyle w:val="ListBullet"/>
      </w:pPr>
      <w:r>
        <w:t>Aufklärung der Patientin bei wesentlichen Änderungen des klinischen Befunds</w:t>
      </w:r>
    </w:p>
    <w:p>
      <w:pPr>
        <w:pStyle w:val="Heading3"/>
      </w:pPr>
      <w:r>
        <w:rPr>
          <w:rFonts w:ascii="Times New Roman" w:hAnsi="Times New Roman"/>
        </w:rPr>
        <w:t>2.2 Informationspflicht (§ 630c BGB)</w:t>
      </w:r>
    </w:p>
    <w:p>
      <w:pPr>
        <w:jc w:val="left"/>
      </w:pPr>
      <w:r>
        <w:t>§ 630c Abs. 2 BGB verpflichtet den Behandelnden, die Patientin in verständlicher Form über ihre Erkrankung und den Behandlungsablauf zu unterrichten. Therapeutisch geboten war ab 23:30 Uhr eine Information über das pathologische CTG-Bild und die Behandlungsoptionen.</w:t>
      </w:r>
    </w:p>
    <w:p>
      <w:pPr>
        <w:pStyle w:val="Heading3"/>
      </w:pPr>
      <w:r>
        <w:rPr>
          <w:rFonts w:ascii="Times New Roman" w:hAnsi="Times New Roman"/>
        </w:rPr>
        <w:t>2.3 Aufklärungspflicht (§ 630e BGB)</w:t>
      </w:r>
    </w:p>
    <w:p>
      <w:pPr>
        <w:jc w:val="left"/>
      </w:pPr>
      <w:r>
        <w:t>§ 630e BGB schreibt eine rechtzeitige, verständliche Aufklärung über wesentliche Behandlungsmaßnahmen — hier: die Sectio-Option — vor. Nach h.M. gilt dies auch in dynamischen Situationen (BGH 25.04.2017, VI ZR 386/15: „Die Aufklärungspflicht besteht nicht nur im Vorfeld einer geplanten, sondern auch einer situativ gebotenen Behandlung, sofern zeitlich noch möglich"). Im vorliegenden Fall war zwischen 23:30 Uhr und ca. 03:30 Uhr ein Fenster von vier Stunden, in dem eine aufgeklärte Entscheidung möglich gewesen wäre.</w:t>
      </w:r>
    </w:p>
    <w:p>
      <w:pPr>
        <w:pStyle w:val="Heading3"/>
      </w:pPr>
      <w:r>
        <w:rPr>
          <w:rFonts w:ascii="Times New Roman" w:hAnsi="Times New Roman"/>
        </w:rPr>
        <w:t>2.4 Dokumentationspflicht (§ 630f BGB)</w:t>
      </w:r>
    </w:p>
    <w:p>
      <w:pPr>
        <w:jc w:val="left"/>
      </w:pPr>
      <w:r>
        <w:t>§ 630f Abs. 1 BGB: Dokumentation „in unmittelbarem zeitlichen Zusammenhang" mit den Maßnahmen. § 630f Abs. 2 BGB: Vollständige und wahrheitsgemäße Aufzeichnung wesentlicher Maßnahmen und Ergebnisse. Dazu gehören: CTG-Bewertungen, Arztentscheidungen, Übergaben, Aufklärungsgespräche.</w:t>
      </w:r>
    </w:p>
    <w:p>
      <w:pPr>
        <w:jc w:val="left"/>
      </w:pPr>
      <w:r>
        <w:t>Die vorliegenden Dokumentationsmängel (AS 22 im Detail) verstoßen gegen § 630f BGB.</w:t>
      </w:r>
    </w:p>
    <w:p/>
    <w:p>
      <w:pPr>
        <w:pStyle w:val="Heading2"/>
      </w:pPr>
      <w:r>
        <w:rPr>
          <w:rFonts w:ascii="Times New Roman" w:hAnsi="Times New Roman"/>
        </w:rPr>
        <w:t>3. Beweislastregeln § 630h BGB</w:t>
      </w:r>
    </w:p>
    <w:p>
      <w:pPr>
        <w:jc w:val="left"/>
      </w:pPr>
      <w:r>
        <w:t>§ 630h BGB ist die zentrale Beweislastnorm im Arzthaftungsrecht. Sie enthält folgende für den vorliegenden Fall relevante Regeln:</w:t>
      </w:r>
    </w:p>
    <w:p>
      <w:pPr>
        <w:pStyle w:val="Heading3"/>
      </w:pPr>
      <w:r>
        <w:rPr>
          <w:rFonts w:ascii="Times New Roman" w:hAnsi="Times New Roman"/>
        </w:rPr>
        <w:t>3.1 § 630h Abs. 1 BGB — Aufklärungsmangel</w:t>
      </w:r>
    </w:p>
    <w:p>
      <w:pPr>
        <w:jc w:val="left"/>
      </w:pPr>
      <w:r>
        <w:t>„Ist eine ordnungsgemäße Aufklärung nach § 630e nicht erfolgt, trägt der Behandelnde die Beweislast dafür, dass der Patient die Einwilligung auch bei ordnungsgemäßer Aufklärung erteilt hätte."</w:t>
      </w:r>
    </w:p>
    <w:p>
      <w:pPr>
        <w:jc w:val="left"/>
      </w:pPr>
      <w:r>
        <w:rPr>
          <w:b/>
        </w:rPr>
        <w:t>Anwendung:</w:t>
      </w:r>
      <w:r>
        <w:t xml:space="preserve"> Die Klinik muss beweisen, dass Frau Meinhardt einer Sectio schon bei einem hypothetischen Aufklärungsgespräch um 23:30 Uhr nicht zugestimmt hätte. Das dürfte schwer zu führen sein: Eine Schwangere, die ein erstes Kind erwartet und über ein pathologisches CTG und die Sectio-Option aufgeklärt wird, entscheidet sich in der Regel für die sicherere Variante.</w:t>
      </w:r>
    </w:p>
    <w:p>
      <w:pPr>
        <w:pStyle w:val="Heading3"/>
      </w:pPr>
      <w:r>
        <w:rPr>
          <w:rFonts w:ascii="Times New Roman" w:hAnsi="Times New Roman"/>
        </w:rPr>
        <w:t>3.2 § 630h Abs. 3 BGB — Dokumentationsmangel</w:t>
      </w:r>
    </w:p>
    <w:p>
      <w:pPr>
        <w:jc w:val="left"/>
      </w:pPr>
      <w:r>
        <w:t>„Ist ein Behandlungsfehler nicht dokumentiert, wird widerleglich vermutet, dass die nicht dokumentierte Maßnahme nicht getroffen wurde."</w:t>
      </w:r>
    </w:p>
    <w:p>
      <w:pPr>
        <w:jc w:val="left"/>
      </w:pPr>
      <w:r>
        <w:rPr>
          <w:b/>
        </w:rPr>
        <w:t>Anwendung:</w:t>
      </w:r>
      <w:r>
        <w:t xml:space="preserve"> Alle nicht dokumentierten Behandlungsschritte (MBU, Sectio-Indikationsprüfung, Arztvisite, Übergabeinhalt, Aufklärungsgespräch) gelten als unterblieben, solange die Klinik das Gegenteil beweist. Diesen Beweis kann die Klinik nur durch Zeugenaussagen führen — die widerstreitenden Aussagen von Sander und Pfletschinger zeigen bereits, dass dieser Beweis schwierig sein wird.</w:t>
      </w:r>
    </w:p>
    <w:p>
      <w:pPr>
        <w:pStyle w:val="Heading3"/>
      </w:pPr>
      <w:r>
        <w:rPr>
          <w:rFonts w:ascii="Times New Roman" w:hAnsi="Times New Roman"/>
        </w:rPr>
        <w:t>3.3 § 630h Abs. 5 BGB — Grober Behandlungsfehler</w:t>
      </w:r>
    </w:p>
    <w:p>
      <w:pPr>
        <w:jc w:val="left"/>
      </w:pPr>
      <w:r>
        <w:t>„Hat der Behandelnde einen groben Behandlungsfehler begangen und ist dieser geeignet, den eingetretenen Schaden zu verursachen, wird widerleglich vermutet, dass der Behandlungsfehler für den Schaden kausal war."</w:t>
      </w:r>
    </w:p>
    <w:p>
      <w:pPr>
        <w:jc w:val="left"/>
      </w:pPr>
      <w:r>
        <w:rPr>
          <w:b/>
        </w:rPr>
        <w:t>Anwendung:</w:t>
      </w:r>
      <w:r>
        <w:t xml:space="preserve"> Ein über 90 Minuten andauerndes pathologisches CTG ohne Reaktion kann als grober Behandlungsfehler zu qualifizieren sein. Grob ist ein Behandlungsfehler, der einem Arzt schlechterdings nicht unterlaufen darf (BGH 25.10.2011, VI ZR 139/10). Das Unterlassen einer MBU oder Sectio-Indikationsüberprüfung über 90 Minuten bei eindeutig pathologischem CTG erfüllt möglicherweise diese Schwelle. Wenn das Gericht den Fehler als grob wertet, dreht sich die Beweislast für die Kausalität um: Dann muss die Klinik beweisen, dass der Schaden auch bei rechtzeitiger Sectio eingetreten wäre.</w:t>
      </w:r>
    </w:p>
    <w:p/>
    <w:p>
      <w:pPr>
        <w:pStyle w:val="Heading2"/>
      </w:pPr>
      <w:r>
        <w:rPr>
          <w:rFonts w:ascii="Times New Roman" w:hAnsi="Times New Roman"/>
        </w:rPr>
        <w:t>4. Passivlegitimation</w:t>
      </w:r>
    </w:p>
    <w:p>
      <w:pPr>
        <w:jc w:val="left"/>
      </w:pPr>
      <w:r>
        <w:t>Klinik (Evangelisches Klinikum Bad Salzdetfurth gGmbH): haftet als Vertragspartnerin des Behandlungsvertrags für alle Behandlungsfehler, auch die der Beleghebamme (BGH 16.10.2014, III ZR 85/14; bei Beleghebammen kann Zurechnung nach § 278 BGB greifen, wenn Klinik Organisationsverschulden trägt).</w:t>
      </w:r>
    </w:p>
    <w:p>
      <w:pPr>
        <w:jc w:val="left"/>
      </w:pPr>
      <w:r>
        <w:t>Dr. Almut Voth: persönliche Haftung nach § 823 Abs. 1 BGB i.V.m. § 630a BGB.</w:t>
      </w:r>
    </w:p>
    <w:p>
      <w:pPr>
        <w:jc w:val="left"/>
      </w:pPr>
      <w:r>
        <w:t>Beleghebamme Sander: persönliche Haftung nach § 823 Abs. 1 BGB, sofern ihr eine fehlerhafte Übergabe oder fehlerhafte CTG-Bewertung zugeordnet werden kann.</w:t>
      </w:r>
    </w:p>
    <w:p>
      <w:pPr>
        <w:jc w:val="left"/>
      </w:pPr>
      <w:r>
        <w:t>Hebamme Pfletschinger: persönliche Haftung für Handeln ab 01:12 Uhr; ihre Haftung ist als angestellte Hebamme der Klinik über § 831 BGB / § 278 BGB der Klinik zurechenbar.</w:t>
      </w:r>
    </w:p>
    <w:p>
      <w:pPr>
        <w:jc w:val="left"/>
      </w:pPr>
      <w:r>
        <w:rPr>
          <w:b/>
        </w:rPr>
        <w:t>Empfehlung:</w:t>
      </w:r>
      <w:r>
        <w:t xml:space="preserve"> Klinik und Dr. Voth als Hauptbeklagte; Sander als Zeugin und hilfsweise Nebenbeklagte nach Lage der Beweise.</w:t>
      </w:r>
    </w:p>
    <w:p/>
    <w:p>
      <w:pPr>
        <w:pStyle w:val="Heading2"/>
      </w:pPr>
      <w:r>
        <w:rPr>
          <w:rFonts w:ascii="Times New Roman" w:hAnsi="Times New Roman"/>
        </w:rPr>
        <w:t>5. Anspruchsgrundlagen Überblick</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Anspruch</w:t>
            </w:r>
          </w:p>
        </w:tc>
        <w:tc>
          <w:tcPr>
            <w:tcW w:type="dxa" w:w="2268"/>
          </w:tcPr>
          <w:p>
            <w:r>
              <w:rPr>
                <w:rFonts w:ascii="Times New Roman" w:hAnsi="Times New Roman"/>
                <w:b/>
                <w:sz w:val="20"/>
              </w:rPr>
              <w:t>Norm</w:t>
            </w:r>
          </w:p>
        </w:tc>
        <w:tc>
          <w:tcPr>
            <w:tcW w:type="dxa" w:w="2268"/>
          </w:tcPr>
          <w:p>
            <w:r>
              <w:rPr>
                <w:rFonts w:ascii="Times New Roman" w:hAnsi="Times New Roman"/>
                <w:b/>
                <w:sz w:val="20"/>
              </w:rPr>
              <w:t>Anspruchsteller</w:t>
            </w:r>
          </w:p>
        </w:tc>
        <w:tc>
          <w:tcPr>
            <w:tcW w:type="dxa" w:w="2268"/>
          </w:tcPr>
          <w:p>
            <w:r>
              <w:rPr>
                <w:rFonts w:ascii="Times New Roman" w:hAnsi="Times New Roman"/>
                <w:b/>
                <w:sz w:val="20"/>
              </w:rPr>
              <w:t>Schuldner</w:t>
            </w:r>
          </w:p>
        </w:tc>
      </w:tr>
      <w:tr>
        <w:tc>
          <w:tcPr>
            <w:tcW w:type="dxa" w:w="2268"/>
          </w:tcPr>
          <w:p>
            <w:r>
              <w:rPr>
                <w:rFonts w:ascii="Times New Roman" w:hAnsi="Times New Roman"/>
                <w:sz w:val="20"/>
              </w:rPr>
              <w:t>Schmerzensgeld Mutter</w:t>
            </w:r>
          </w:p>
        </w:tc>
        <w:tc>
          <w:tcPr>
            <w:tcW w:type="dxa" w:w="2268"/>
          </w:tcPr>
          <w:p>
            <w:r>
              <w:rPr>
                <w:rFonts w:ascii="Times New Roman" w:hAnsi="Times New Roman"/>
                <w:sz w:val="20"/>
              </w:rPr>
              <w:t>§ 253 Abs. 2, § 280 Abs. 1, § 823 Abs. 1 BGB</w:t>
            </w:r>
          </w:p>
        </w:tc>
        <w:tc>
          <w:tcPr>
            <w:tcW w:type="dxa" w:w="2268"/>
          </w:tcPr>
          <w:p>
            <w:r>
              <w:rPr>
                <w:rFonts w:ascii="Times New Roman" w:hAnsi="Times New Roman"/>
                <w:sz w:val="20"/>
              </w:rPr>
              <w:t>Lina Meinhardt</w:t>
            </w:r>
          </w:p>
        </w:tc>
        <w:tc>
          <w:tcPr>
            <w:tcW w:type="dxa" w:w="2268"/>
          </w:tcPr>
          <w:p>
            <w:r>
              <w:rPr>
                <w:rFonts w:ascii="Times New Roman" w:hAnsi="Times New Roman"/>
                <w:sz w:val="20"/>
              </w:rPr>
              <w:t>Klinik, Dr. Voth</w:t>
            </w:r>
          </w:p>
        </w:tc>
      </w:tr>
      <w:tr>
        <w:tc>
          <w:tcPr>
            <w:tcW w:type="dxa" w:w="2268"/>
          </w:tcPr>
          <w:p>
            <w:r>
              <w:rPr>
                <w:rFonts w:ascii="Times New Roman" w:hAnsi="Times New Roman"/>
                <w:sz w:val="20"/>
              </w:rPr>
              <w:t>Schmerzensgeld Helene</w:t>
            </w:r>
          </w:p>
        </w:tc>
        <w:tc>
          <w:tcPr>
            <w:tcW w:type="dxa" w:w="2268"/>
          </w:tcPr>
          <w:p>
            <w:r>
              <w:rPr>
                <w:rFonts w:ascii="Times New Roman" w:hAnsi="Times New Roman"/>
                <w:sz w:val="20"/>
              </w:rPr>
              <w:t>§ 253 Abs. 2, § 823 Abs. 1 BGB</w:t>
            </w:r>
          </w:p>
        </w:tc>
        <w:tc>
          <w:tcPr>
            <w:tcW w:type="dxa" w:w="2268"/>
          </w:tcPr>
          <w:p>
            <w:r>
              <w:rPr>
                <w:rFonts w:ascii="Times New Roman" w:hAnsi="Times New Roman"/>
                <w:sz w:val="20"/>
              </w:rPr>
              <w:t>Helene Meinhardt (vertr. Mutter)</w:t>
            </w:r>
          </w:p>
        </w:tc>
        <w:tc>
          <w:tcPr>
            <w:tcW w:type="dxa" w:w="2268"/>
          </w:tcPr>
          <w:p>
            <w:r>
              <w:rPr>
                <w:rFonts w:ascii="Times New Roman" w:hAnsi="Times New Roman"/>
                <w:sz w:val="20"/>
              </w:rPr>
              <w:t>Klinik, Dr. Voth</w:t>
            </w:r>
          </w:p>
        </w:tc>
      </w:tr>
      <w:tr>
        <w:tc>
          <w:tcPr>
            <w:tcW w:type="dxa" w:w="2268"/>
          </w:tcPr>
          <w:p>
            <w:r>
              <w:rPr>
                <w:rFonts w:ascii="Times New Roman" w:hAnsi="Times New Roman"/>
                <w:sz w:val="20"/>
              </w:rPr>
              <w:t>Materieller Schaden Helene</w:t>
            </w:r>
          </w:p>
        </w:tc>
        <w:tc>
          <w:tcPr>
            <w:tcW w:type="dxa" w:w="2268"/>
          </w:tcPr>
          <w:p>
            <w:r>
              <w:rPr>
                <w:rFonts w:ascii="Times New Roman" w:hAnsi="Times New Roman"/>
                <w:sz w:val="20"/>
              </w:rPr>
              <w:t>§ 249 ff., § 823 Abs. 1 BGB</w:t>
            </w:r>
          </w:p>
        </w:tc>
        <w:tc>
          <w:tcPr>
            <w:tcW w:type="dxa" w:w="2268"/>
          </w:tcPr>
          <w:p>
            <w:r>
              <w:rPr>
                <w:rFonts w:ascii="Times New Roman" w:hAnsi="Times New Roman"/>
                <w:sz w:val="20"/>
              </w:rPr>
              <w:t>Helene Meinhardt</w:t>
            </w:r>
          </w:p>
        </w:tc>
        <w:tc>
          <w:tcPr>
            <w:tcW w:type="dxa" w:w="2268"/>
          </w:tcPr>
          <w:p>
            <w:r>
              <w:rPr>
                <w:rFonts w:ascii="Times New Roman" w:hAnsi="Times New Roman"/>
                <w:sz w:val="20"/>
              </w:rPr>
              <w:t>Klinik</w:t>
            </w:r>
          </w:p>
        </w:tc>
      </w:tr>
      <w:tr>
        <w:tc>
          <w:tcPr>
            <w:tcW w:type="dxa" w:w="2268"/>
          </w:tcPr>
          <w:p>
            <w:r>
              <w:rPr>
                <w:rFonts w:ascii="Times New Roman" w:hAnsi="Times New Roman"/>
                <w:sz w:val="20"/>
              </w:rPr>
              <w:t>Verdienstausfall Mutter</w:t>
            </w:r>
          </w:p>
        </w:tc>
        <w:tc>
          <w:tcPr>
            <w:tcW w:type="dxa" w:w="2268"/>
          </w:tcPr>
          <w:p>
            <w:r>
              <w:rPr>
                <w:rFonts w:ascii="Times New Roman" w:hAnsi="Times New Roman"/>
                <w:sz w:val="20"/>
              </w:rPr>
              <w:t>§ 252, § 823 BGB</w:t>
            </w:r>
          </w:p>
        </w:tc>
        <w:tc>
          <w:tcPr>
            <w:tcW w:type="dxa" w:w="2268"/>
          </w:tcPr>
          <w:p>
            <w:r>
              <w:rPr>
                <w:rFonts w:ascii="Times New Roman" w:hAnsi="Times New Roman"/>
                <w:sz w:val="20"/>
              </w:rPr>
              <w:t>Lina Meinhardt</w:t>
            </w:r>
          </w:p>
        </w:tc>
        <w:tc>
          <w:tcPr>
            <w:tcW w:type="dxa" w:w="2268"/>
          </w:tcPr>
          <w:p>
            <w:r>
              <w:rPr>
                <w:rFonts w:ascii="Times New Roman" w:hAnsi="Times New Roman"/>
                <w:sz w:val="20"/>
              </w:rPr>
              <w:t>Klinik</w:t>
            </w:r>
          </w:p>
        </w:tc>
      </w:tr>
      <w:tr>
        <w:tc>
          <w:tcPr>
            <w:tcW w:type="dxa" w:w="2268"/>
          </w:tcPr>
          <w:p>
            <w:r>
              <w:rPr>
                <w:rFonts w:ascii="Times New Roman" w:hAnsi="Times New Roman"/>
                <w:sz w:val="20"/>
              </w:rPr>
              <w:t>Feststellung zukünftiger Schaden</w:t>
            </w:r>
          </w:p>
        </w:tc>
        <w:tc>
          <w:tcPr>
            <w:tcW w:type="dxa" w:w="2268"/>
          </w:tcPr>
          <w:p>
            <w:r>
              <w:rPr>
                <w:rFonts w:ascii="Times New Roman" w:hAnsi="Times New Roman"/>
                <w:sz w:val="20"/>
              </w:rPr>
              <w:t>§ 256 ZPO i.V.m. § 823 BGB</w:t>
            </w:r>
          </w:p>
        </w:tc>
        <w:tc>
          <w:tcPr>
            <w:tcW w:type="dxa" w:w="2268"/>
          </w:tcPr>
          <w:p>
            <w:r>
              <w:rPr>
                <w:rFonts w:ascii="Times New Roman" w:hAnsi="Times New Roman"/>
                <w:sz w:val="20"/>
              </w:rPr>
              <w:t>beide</w:t>
            </w:r>
          </w:p>
        </w:tc>
        <w:tc>
          <w:tcPr>
            <w:tcW w:type="dxa" w:w="2268"/>
          </w:tcPr>
          <w:p>
            <w:r>
              <w:rPr>
                <w:rFonts w:ascii="Times New Roman" w:hAnsi="Times New Roman"/>
                <w:sz w:val="20"/>
              </w:rPr>
              <w:t>Klinik</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