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Streitwertberechnung und Prozesskostenhilfe</w:t>
      </w:r>
    </w:p>
    <w:p>
      <w:pPr>
        <w:jc w:val="left"/>
      </w:pPr>
      <w:r>
        <w:t>Bearbeiterin: RAin Wachhorst</w:t>
      </w:r>
    </w:p>
    <w:p>
      <w:pPr>
        <w:jc w:val="left"/>
      </w:pPr>
      <w:r>
        <w:t>Stand: Juni 2025</w:t>
      </w:r>
    </w:p>
    <w:p/>
    <w:p>
      <w:pPr>
        <w:pStyle w:val="Heading2"/>
      </w:pPr>
      <w:r>
        <w:rPr>
          <w:rFonts w:ascii="Times New Roman" w:hAnsi="Times New Roman"/>
        </w:rPr>
        <w:t>I. Streitwert</w:t>
      </w:r>
    </w:p>
    <w:p>
      <w:pPr>
        <w:pStyle w:val="Heading3"/>
      </w:pPr>
      <w:r>
        <w:rPr>
          <w:rFonts w:ascii="Times New Roman" w:hAnsi="Times New Roman"/>
        </w:rPr>
        <w:t>Bezifferte Anträge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Klageantrag</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Schmerzensgeld Helene Meinhardt (Antrag Ziff. 1)</w:t>
            </w:r>
          </w:p>
        </w:tc>
        <w:tc>
          <w:tcPr>
            <w:tcW w:type="dxa" w:w="4536"/>
          </w:tcPr>
          <w:p>
            <w:r>
              <w:rPr>
                <w:rFonts w:ascii="Times New Roman" w:hAnsi="Times New Roman"/>
                <w:sz w:val="20"/>
              </w:rPr>
              <w:t>EUR 400.000,--</w:t>
            </w:r>
          </w:p>
        </w:tc>
      </w:tr>
      <w:tr>
        <w:tc>
          <w:tcPr>
            <w:tcW w:type="dxa" w:w="4536"/>
          </w:tcPr>
          <w:p>
            <w:r>
              <w:rPr>
                <w:rFonts w:ascii="Times New Roman" w:hAnsi="Times New Roman"/>
                <w:sz w:val="20"/>
              </w:rPr>
              <w:t>Schmerzensgeld Lina Meinhardt (Antrag Ziff. 2)</w:t>
            </w:r>
          </w:p>
        </w:tc>
        <w:tc>
          <w:tcPr>
            <w:tcW w:type="dxa" w:w="4536"/>
          </w:tcPr>
          <w:p>
            <w:r>
              <w:rPr>
                <w:rFonts w:ascii="Times New Roman" w:hAnsi="Times New Roman"/>
                <w:sz w:val="20"/>
              </w:rPr>
              <w:t>EUR 30.000,--</w:t>
            </w:r>
          </w:p>
        </w:tc>
      </w:tr>
      <w:tr>
        <w:tc>
          <w:tcPr>
            <w:tcW w:type="dxa" w:w="4536"/>
          </w:tcPr>
          <w:p>
            <w:r>
              <w:rPr>
                <w:rFonts w:ascii="Times New Roman" w:hAnsi="Times New Roman"/>
                <w:sz w:val="20"/>
              </w:rPr>
              <w:t>Materieller Schaden Helene — Ist-Aufwendungen 2024/2025 (Antrag Ziff. 3)</w:t>
            </w:r>
          </w:p>
        </w:tc>
        <w:tc>
          <w:tcPr>
            <w:tcW w:type="dxa" w:w="4536"/>
          </w:tcPr>
          <w:p>
            <w:r>
              <w:rPr>
                <w:rFonts w:ascii="Times New Roman" w:hAnsi="Times New Roman"/>
                <w:sz w:val="20"/>
              </w:rPr>
              <w:t>EUR 57.800,--</w:t>
            </w:r>
          </w:p>
        </w:tc>
      </w:tr>
      <w:tr>
        <w:tc>
          <w:tcPr>
            <w:tcW w:type="dxa" w:w="4536"/>
          </w:tcPr>
          <w:p>
            <w:r>
              <w:rPr>
                <w:rFonts w:ascii="Times New Roman" w:hAnsi="Times New Roman"/>
                <w:sz w:val="20"/>
              </w:rPr>
              <w:t>Verdienstausfall Mutter 8 Monate (Antrag Ziff. 4)</w:t>
            </w:r>
          </w:p>
        </w:tc>
        <w:tc>
          <w:tcPr>
            <w:tcW w:type="dxa" w:w="4536"/>
          </w:tcPr>
          <w:p>
            <w:r>
              <w:rPr>
                <w:rFonts w:ascii="Times New Roman" w:hAnsi="Times New Roman"/>
                <w:sz w:val="20"/>
              </w:rPr>
              <w:t>EUR 21.600,--</w:t>
            </w:r>
          </w:p>
        </w:tc>
      </w:tr>
      <w:tr>
        <w:tc>
          <w:tcPr>
            <w:tcW w:type="dxa" w:w="4536"/>
          </w:tcPr>
          <w:p>
            <w:r>
              <w:rPr>
                <w:rFonts w:ascii="Times New Roman" w:hAnsi="Times New Roman"/>
                <w:sz w:val="20"/>
              </w:rPr>
              <w:t>Psychotherapiekosten (Antrag Ziff. 5)</w:t>
            </w:r>
          </w:p>
        </w:tc>
        <w:tc>
          <w:tcPr>
            <w:tcW w:type="dxa" w:w="4536"/>
          </w:tcPr>
          <w:p>
            <w:r>
              <w:rPr>
                <w:rFonts w:ascii="Times New Roman" w:hAnsi="Times New Roman"/>
                <w:sz w:val="20"/>
              </w:rPr>
              <w:t>EUR 2.400,--</w:t>
            </w:r>
          </w:p>
        </w:tc>
      </w:tr>
      <w:tr>
        <w:tc>
          <w:tcPr>
            <w:tcW w:type="dxa" w:w="4536"/>
          </w:tcPr>
          <w:p>
            <w:r>
              <w:rPr>
                <w:rFonts w:ascii="Times New Roman" w:hAnsi="Times New Roman"/>
                <w:b/>
                <w:sz w:val="20"/>
              </w:rPr>
              <w:t>Gesamt beziffert</w:t>
            </w:r>
          </w:p>
        </w:tc>
        <w:tc>
          <w:tcPr>
            <w:tcW w:type="dxa" w:w="4536"/>
          </w:tcPr>
          <w:p>
            <w:r>
              <w:rPr>
                <w:rFonts w:ascii="Times New Roman" w:hAnsi="Times New Roman"/>
                <w:b/>
                <w:sz w:val="20"/>
              </w:rPr>
              <w:t>EUR 511.800,--</w:t>
            </w:r>
          </w:p>
        </w:tc>
      </w:tr>
    </w:tbl>
    <w:p>
      <w:pPr>
        <w:pStyle w:val="Heading3"/>
      </w:pPr>
      <w:r>
        <w:rPr>
          <w:rFonts w:ascii="Times New Roman" w:hAnsi="Times New Roman"/>
        </w:rPr>
        <w:t>Feststellungsanträge (Streitwert nach § 3 ZPO)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Feststellungsantrag</w:t>
            </w:r>
          </w:p>
        </w:tc>
        <w:tc>
          <w:tcPr>
            <w:tcW w:type="dxa" w:w="4536"/>
          </w:tcPr>
          <w:p>
            <w:r>
              <w:rPr>
                <w:rFonts w:ascii="Times New Roman" w:hAnsi="Times New Roman"/>
                <w:b/>
                <w:sz w:val="20"/>
              </w:rPr>
              <w:t>Streitwert (Schätzung)</w:t>
            </w:r>
          </w:p>
        </w:tc>
      </w:tr>
      <w:tr>
        <w:tc>
          <w:tcPr>
            <w:tcW w:type="dxa" w:w="4536"/>
          </w:tcPr>
          <w:p>
            <w:r>
              <w:rPr>
                <w:rFonts w:ascii="Times New Roman" w:hAnsi="Times New Roman"/>
                <w:sz w:val="20"/>
              </w:rPr>
              <w:t>Zukünftige Pflegekosten Helene (bis 18 Jahre und darüber hinaus)</w:t>
            </w:r>
          </w:p>
        </w:tc>
        <w:tc>
          <w:tcPr>
            <w:tcW w:type="dxa" w:w="4536"/>
          </w:tcPr>
          <w:p>
            <w:r>
              <w:rPr>
                <w:rFonts w:ascii="Times New Roman" w:hAnsi="Times New Roman"/>
                <w:sz w:val="20"/>
              </w:rPr>
              <w:t>EUR 100.000,--</w:t>
            </w:r>
          </w:p>
        </w:tc>
      </w:tr>
      <w:tr>
        <w:tc>
          <w:tcPr>
            <w:tcW w:type="dxa" w:w="4536"/>
          </w:tcPr>
          <w:p>
            <w:r>
              <w:rPr>
                <w:rFonts w:ascii="Times New Roman" w:hAnsi="Times New Roman"/>
                <w:sz w:val="20"/>
              </w:rPr>
              <w:t>Erwerbsminderung Mutter dauerhaft (50% Teilzeit)</w:t>
            </w:r>
          </w:p>
        </w:tc>
        <w:tc>
          <w:tcPr>
            <w:tcW w:type="dxa" w:w="4536"/>
          </w:tcPr>
          <w:p>
            <w:r>
              <w:rPr>
                <w:rFonts w:ascii="Times New Roman" w:hAnsi="Times New Roman"/>
                <w:sz w:val="20"/>
              </w:rPr>
              <w:t>EUR 50.000,--</w:t>
            </w:r>
          </w:p>
        </w:tc>
      </w:tr>
      <w:tr>
        <w:tc>
          <w:tcPr>
            <w:tcW w:type="dxa" w:w="4536"/>
          </w:tcPr>
          <w:p>
            <w:r>
              <w:rPr>
                <w:rFonts w:ascii="Times New Roman" w:hAnsi="Times New Roman"/>
                <w:sz w:val="20"/>
              </w:rPr>
              <w:t>Zukünftige Heilbehandlungskosten (Hilfsmittel, Therapien)</w:t>
            </w:r>
          </w:p>
        </w:tc>
        <w:tc>
          <w:tcPr>
            <w:tcW w:type="dxa" w:w="4536"/>
          </w:tcPr>
          <w:p>
            <w:r>
              <w:rPr>
                <w:rFonts w:ascii="Times New Roman" w:hAnsi="Times New Roman"/>
                <w:sz w:val="20"/>
              </w:rPr>
              <w:t>EUR 50.000,--</w:t>
            </w:r>
          </w:p>
        </w:tc>
      </w:tr>
      <w:tr>
        <w:tc>
          <w:tcPr>
            <w:tcW w:type="dxa" w:w="4536"/>
          </w:tcPr>
          <w:p>
            <w:r>
              <w:rPr>
                <w:rFonts w:ascii="Times New Roman" w:hAnsi="Times New Roman"/>
                <w:b/>
                <w:sz w:val="20"/>
              </w:rPr>
              <w:t>Gesamt Feststellung</w:t>
            </w:r>
          </w:p>
        </w:tc>
        <w:tc>
          <w:tcPr>
            <w:tcW w:type="dxa" w:w="4536"/>
          </w:tcPr>
          <w:p>
            <w:r>
              <w:rPr>
                <w:rFonts w:ascii="Times New Roman" w:hAnsi="Times New Roman"/>
                <w:b/>
                <w:sz w:val="20"/>
              </w:rPr>
              <w:t>EUR 200.000,--</w:t>
            </w:r>
          </w:p>
        </w:tc>
      </w:tr>
    </w:tbl>
    <w:p>
      <w:pPr>
        <w:pStyle w:val="Heading3"/>
      </w:pPr>
      <w:r>
        <w:rPr>
          <w:rFonts w:ascii="Times New Roman" w:hAnsi="Times New Roman"/>
        </w:rPr>
        <w:t>Gesamtstreitwert</w:t>
      </w:r>
    </w:p>
    <w:p>
      <w:pPr>
        <w:jc w:val="left"/>
      </w:pPr>
      <w:r>
        <w:t xml:space="preserve">Beziffert: EUR 511.800 + Feststellung EUR 200.000 = </w:t>
      </w:r>
      <w:r>
        <w:rPr>
          <w:b/>
        </w:rPr>
        <w:t>EUR 711.800</w:t>
      </w:r>
    </w:p>
    <w:p>
      <w:pPr>
        <w:jc w:val="left"/>
      </w:pPr>
      <w:r>
        <w:t>Für die Gerichtsgebührenberechnung nach GKG: bei Streitwert EUR 711.800 beträgt der Gebührenansatz nach Anlage 2 GKG Tabelle A (Zivilsachen LG):</w:t>
      </w:r>
    </w:p>
    <w:p>
      <w:pPr>
        <w:pStyle w:val="ListBullet"/>
      </w:pPr>
      <w:r>
        <w:t>3,0 Gebühren (Normalfall) × Gebühreneinheit bei EUR 711.800</w:t>
      </w:r>
    </w:p>
    <w:p>
      <w:pPr>
        <w:jc w:val="left"/>
      </w:pPr>
      <w:r>
        <w:t>Gebühreneinheit bei Streitwert EUR 700.000–800.000: EUR 3.546 (Stand GKG 2024)</w:t>
      </w:r>
    </w:p>
    <w:p>
      <w:pPr>
        <w:jc w:val="left"/>
      </w:pPr>
      <w:r>
        <w:t>Gerichtsgebühren Klage: ca. EUR 10.638 (3,0 Gebühren)</w:t>
      </w:r>
    </w:p>
    <w:p>
      <w:pPr>
        <w:jc w:val="left"/>
      </w:pPr>
      <w:r>
        <w:t>RA-Gebühren (beide Parteien): je RVG-Tabelle ca. EUR 2 × (1,3 Verfahrensgebühr + 1,2 Terminsgebühr) ca. EUR 2 × EUR 7.800 = ca. EUR 15.600</w:t>
      </w:r>
    </w:p>
    <w:p>
      <w:pPr>
        <w:jc w:val="left"/>
      </w:pPr>
      <w:r>
        <w:rPr>
          <w:b/>
        </w:rPr>
        <w:t>Gesamtkostenrisiko Klagestadium ca. EUR 26.000</w:t>
      </w:r>
    </w:p>
    <w:p/>
    <w:p>
      <w:pPr>
        <w:pStyle w:val="Heading2"/>
      </w:pPr>
      <w:r>
        <w:rPr>
          <w:rFonts w:ascii="Times New Roman" w:hAnsi="Times New Roman"/>
        </w:rPr>
        <w:t>II. Prozesskostenhilfe (PKH)</w:t>
      </w:r>
    </w:p>
    <w:p>
      <w:pPr>
        <w:pStyle w:val="Heading3"/>
      </w:pPr>
      <w:r>
        <w:rPr>
          <w:rFonts w:ascii="Times New Roman" w:hAnsi="Times New Roman"/>
        </w:rPr>
        <w:t>Antragstellerin: Lina Meinhardt</w:t>
      </w:r>
    </w:p>
    <w:p>
      <w:pPr>
        <w:jc w:val="left"/>
      </w:pPr>
      <w:r>
        <w:rPr>
          <w:b/>
        </w:rPr>
        <w:t>Antragsbegründung:</w:t>
      </w:r>
    </w:p>
    <w:p>
      <w:pPr>
        <w:jc w:val="left"/>
      </w:pPr>
      <w:r>
        <w:t>Frau Meinhardt ist Lehrerin mit einem Bruttogehalt von ca. EUR 3.650/Monat (A10 Stufe 3). Seit August 2024 arbeitet sie auf 50% (EUR 1.825 brutto, ca. EUR 1.350 netto). Ihr Eigenanteil für die Pflege Helenes beträgt EUR 3.850/Monat, weit über ihr Nettoeinkommen hinaus. Der Differenzbetrag wird durch Pflegegeld (EUR 947/Monat) und Unterstützung des Lebenspartners (angemeldete Haushaltsgemeinschaft, Einkommen Lars Eichner ca. EUR 3.000 netto) gedeckt.</w:t>
      </w:r>
    </w:p>
    <w:p>
      <w:pPr>
        <w:jc w:val="left"/>
      </w:pPr>
      <w:r>
        <w:rPr>
          <w:b/>
        </w:rPr>
        <w:t>Prüfung Einkommensgrenze PKH (§ 115 ZPO):</w:t>
      </w:r>
    </w:p>
    <w:p>
      <w:pPr>
        <w:jc w:val="left"/>
      </w:pPr>
      <w:r>
        <w:t>Einkommen Frau Meinhardt netto: ca. EUR 1.350/Monat</w:t>
      </w:r>
    </w:p>
    <w:p>
      <w:pPr>
        <w:jc w:val="left"/>
      </w:pPr>
      <w:r>
        <w:t>Abzüge nach § 115 ZPO:</w:t>
      </w:r>
    </w:p>
    <w:p>
      <w:pPr>
        <w:pStyle w:val="ListBullet"/>
      </w:pPr>
      <w:r>
        <w:t>Freibetrag Antragstellerin: EUR 619/Monat (2024)</w:t>
      </w:r>
    </w:p>
    <w:p>
      <w:pPr>
        <w:pStyle w:val="ListBullet"/>
      </w:pPr>
      <w:r>
        <w:t>Freibetrag für Eichner (nicht ehelicher Partner, im gemeinsamen Haushalt): EUR 619/Monat</w:t>
      </w:r>
    </w:p>
    <w:p>
      <w:pPr>
        <w:pStyle w:val="ListBullet"/>
      </w:pPr>
      <w:r>
        <w:t>Freibetrag für Helene (Kind im Haushalt): EUR 476/Monat</w:t>
      </w:r>
    </w:p>
    <w:p>
      <w:pPr>
        <w:pStyle w:val="ListBullet"/>
      </w:pPr>
      <w:r>
        <w:t>Kosten Unterkunft/Heizung (Miete anteilig ca. EUR 700/Monat)</w:t>
      </w:r>
    </w:p>
    <w:p>
      <w:pPr>
        <w:pStyle w:val="ListBullet"/>
      </w:pPr>
      <w:r>
        <w:t>Pflegeeigenanteil als besondere Belastung: EUR 3.850 — aber nach § 115 Abs. 1 Nr. 3 ZPO nur bestimmte Beträge anrechenbar</w:t>
      </w:r>
    </w:p>
    <w:p>
      <w:pPr>
        <w:jc w:val="left"/>
      </w:pPr>
      <w:r>
        <w:t>Verbleibende Belastung: Die Pflegekosten übersteigen das Nettoeinkommen; PKH ist sehr wahrscheinlich zu bewilligen, wenn die Erfolgsaussichten bejaht werden.</w:t>
      </w:r>
    </w:p>
    <w:p>
      <w:pPr>
        <w:jc w:val="left"/>
      </w:pPr>
      <w:r>
        <w:rPr>
          <w:b/>
        </w:rPr>
        <w:t>Erfolgsaussichten (§ 114 ZPO):</w:t>
      </w:r>
      <w:r>
        <w:t xml:space="preserve"> Hinreichend. Das Schlichtungsgutachten bestätigt Behandlungsfehler. Sachverständige aus dem Schlichtungsverfahren können im Zivilprozess verwertet werden. Das Landgericht Hildesheim bewilligt in vergleichbaren Geburtsschadenfällen regelmäßig PKH, sofern gutachterliche Grundlagen vorliegen.</w:t>
      </w:r>
    </w:p>
    <w:p>
      <w:pPr>
        <w:jc w:val="left"/>
      </w:pPr>
      <w:r>
        <w:rPr>
          <w:b/>
        </w:rPr>
        <w:t>Beiordnung:</w:t>
      </w:r>
      <w:r>
        <w:t xml:space="preserve"> RAin Wachhorst stellt gleichzeitig Antrag auf Beiordnung (§ 121 ZPO). Als Fachanwältin Medizinrecht mit bundesweiter Tätigkeit ist die Beiordnung trotz auswärtiger Kanzlei (Berlin) begründbar, da kein geeigneter Fachanwalt Medizinrecht am Gerichtsort Hildesheim / im Landgerichtsbezirk verfahrensbereit ist. Das LG Hildesheim wird hierzu ggf. Anmerkungen haben.</w:t>
      </w:r>
    </w:p>
    <w:p>
      <w:pPr>
        <w:jc w:val="left"/>
      </w:pPr>
      <w:r>
        <w:rPr>
          <w:b/>
        </w:rPr>
        <w:t>Antrag gleichzeitig für Helene Meinhardt:</w:t>
      </w:r>
      <w:r>
        <w:t xml:space="preserve"> Die gesetzliche Vertreterin (Mutter) beantragt PKH auch für die Klage der Tochter; das Vermögen der Tochter besteht aus dem Pflegegeld (EUR 947/Monat) und Kindergeld; keine Ersparnisse. PKH für das Kind dürfte unstreitig bewilligbar sein.</w:t>
      </w:r>
    </w:p>
    <w:p/>
    <w:p>
      <w:pPr>
        <w:pStyle w:val="Heading2"/>
      </w:pPr>
      <w:r>
        <w:rPr>
          <w:rFonts w:ascii="Times New Roman" w:hAnsi="Times New Roman"/>
        </w:rPr>
        <w:t>III. Hinweis Eigenkostenübernahme durch Versicherer</w:t>
      </w:r>
    </w:p>
    <w:p>
      <w:pPr>
        <w:jc w:val="left"/>
      </w:pPr>
      <w:r>
        <w:t>Frau Meinhardt hat keine Rechtsschutzversicherung für zivilrechtliche Arzthaftungsansprüche (Auskunft Mandantin). RA Dr. Reuss hat eine Rechtsschutzversicherungsanfrage für rückwirkende Übernahme angeregt — wird abgelehnt, da der Versicherungsfall vor Vertragsabschluss liegt.</w:t>
      </w:r>
    </w:p>
    <w:p>
      <w:pPr>
        <w:jc w:val="left"/>
      </w:pPr>
      <w:r>
        <w:t>Im Erfolgsfall (Verurteilung der Klinik): Kostenerstattungspflicht der unterlegenen Klinik nach § 91 ZPO; Eigenanteile der PKH-Partei sind bei Erfolg aus dem Urteilsbetrag zu erstatten.</w:t>
      </w:r>
    </w:p>
    <w:p/>
    <w:p>
      <w:pPr>
        <w:pStyle w:val="Heading2"/>
      </w:pPr>
      <w:r>
        <w:rPr>
          <w:rFonts w:ascii="Times New Roman" w:hAnsi="Times New Roman"/>
        </w:rPr>
        <w:t>IV. Zeitplan und Kostenrisiko-Übersicht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Phase</w:t>
            </w:r>
          </w:p>
        </w:tc>
        <w:tc>
          <w:tcPr>
            <w:tcW w:type="dxa" w:w="3024"/>
          </w:tcPr>
          <w:p>
            <w:r>
              <w:rPr>
                <w:rFonts w:ascii="Times New Roman" w:hAnsi="Times New Roman"/>
                <w:b/>
                <w:sz w:val="20"/>
              </w:rPr>
              <w:t>Dauer (geschätzt)</w:t>
            </w:r>
          </w:p>
        </w:tc>
        <w:tc>
          <w:tcPr>
            <w:tcW w:type="dxa" w:w="3024"/>
          </w:tcPr>
          <w:p>
            <w:r>
              <w:rPr>
                <w:rFonts w:ascii="Times New Roman" w:hAnsi="Times New Roman"/>
                <w:b/>
                <w:sz w:val="20"/>
              </w:rPr>
              <w:t>Kostenrisiko</w:t>
            </w:r>
          </w:p>
        </w:tc>
      </w:tr>
      <w:tr>
        <w:tc>
          <w:tcPr>
            <w:tcW w:type="dxa" w:w="3024"/>
          </w:tcPr>
          <w:p>
            <w:r>
              <w:rPr>
                <w:rFonts w:ascii="Times New Roman" w:hAnsi="Times New Roman"/>
                <w:sz w:val="20"/>
              </w:rPr>
              <w:t>Klageeinreichung und Zustellung</w:t>
            </w:r>
          </w:p>
        </w:tc>
        <w:tc>
          <w:tcPr>
            <w:tcW w:type="dxa" w:w="3024"/>
          </w:tcPr>
          <w:p>
            <w:r>
              <w:rPr>
                <w:rFonts w:ascii="Times New Roman" w:hAnsi="Times New Roman"/>
                <w:sz w:val="20"/>
              </w:rPr>
              <w:t>Sofort – 2 Monate</w:t>
            </w:r>
          </w:p>
        </w:tc>
        <w:tc>
          <w:tcPr>
            <w:tcW w:type="dxa" w:w="3024"/>
          </w:tcPr>
          <w:p>
            <w:r>
              <w:rPr>
                <w:rFonts w:ascii="Times New Roman" w:hAnsi="Times New Roman"/>
                <w:sz w:val="20"/>
              </w:rPr>
              <w:t>Gerichtsgebühr ca. EUR 10.638</w:t>
            </w:r>
          </w:p>
        </w:tc>
      </w:tr>
      <w:tr>
        <w:tc>
          <w:tcPr>
            <w:tcW w:type="dxa" w:w="3024"/>
          </w:tcPr>
          <w:p>
            <w:r>
              <w:rPr>
                <w:rFonts w:ascii="Times New Roman" w:hAnsi="Times New Roman"/>
                <w:sz w:val="20"/>
              </w:rPr>
              <w:t>Erstes Termin / Sachverständigenbestellung</w:t>
            </w:r>
          </w:p>
        </w:tc>
        <w:tc>
          <w:tcPr>
            <w:tcW w:type="dxa" w:w="3024"/>
          </w:tcPr>
          <w:p>
            <w:r>
              <w:rPr>
                <w:rFonts w:ascii="Times New Roman" w:hAnsi="Times New Roman"/>
                <w:sz w:val="20"/>
              </w:rPr>
              <w:t>6–12 Monate</w:t>
            </w:r>
          </w:p>
        </w:tc>
        <w:tc>
          <w:tcPr>
            <w:tcW w:type="dxa" w:w="3024"/>
          </w:tcPr>
          <w:p>
            <w:r>
              <w:rPr>
                <w:rFonts w:ascii="Times New Roman" w:hAnsi="Times New Roman"/>
                <w:sz w:val="20"/>
              </w:rPr>
              <w:t>RA-Gebühren laufend</w:t>
            </w:r>
          </w:p>
        </w:tc>
      </w:tr>
      <w:tr>
        <w:tc>
          <w:tcPr>
            <w:tcW w:type="dxa" w:w="3024"/>
          </w:tcPr>
          <w:p>
            <w:r>
              <w:rPr>
                <w:rFonts w:ascii="Times New Roman" w:hAnsi="Times New Roman"/>
                <w:sz w:val="20"/>
              </w:rPr>
              <w:t>Sachverständigengutachten gerichtlich</w:t>
            </w:r>
          </w:p>
        </w:tc>
        <w:tc>
          <w:tcPr>
            <w:tcW w:type="dxa" w:w="3024"/>
          </w:tcPr>
          <w:p>
            <w:r>
              <w:rPr>
                <w:rFonts w:ascii="Times New Roman" w:hAnsi="Times New Roman"/>
                <w:sz w:val="20"/>
              </w:rPr>
              <w:t>6–18 Monate</w:t>
            </w:r>
          </w:p>
        </w:tc>
        <w:tc>
          <w:tcPr>
            <w:tcW w:type="dxa" w:w="3024"/>
          </w:tcPr>
          <w:p>
            <w:r>
              <w:rPr>
                <w:rFonts w:ascii="Times New Roman" w:hAnsi="Times New Roman"/>
                <w:sz w:val="20"/>
              </w:rPr>
              <w:t>SV-Kosten EUR 15.000–30.000 (nach JVEG)</w:t>
            </w:r>
          </w:p>
        </w:tc>
      </w:tr>
      <w:tr>
        <w:tc>
          <w:tcPr>
            <w:tcW w:type="dxa" w:w="3024"/>
          </w:tcPr>
          <w:p>
            <w:r>
              <w:rPr>
                <w:rFonts w:ascii="Times New Roman" w:hAnsi="Times New Roman"/>
                <w:sz w:val="20"/>
              </w:rPr>
              <w:t>Urteil / Berufung (falls notwendig)</w:t>
            </w:r>
          </w:p>
        </w:tc>
        <w:tc>
          <w:tcPr>
            <w:tcW w:type="dxa" w:w="3024"/>
          </w:tcPr>
          <w:p>
            <w:r>
              <w:rPr>
                <w:rFonts w:ascii="Times New Roman" w:hAnsi="Times New Roman"/>
                <w:sz w:val="20"/>
              </w:rPr>
              <w:t>2–4 Jahre</w:t>
            </w:r>
          </w:p>
        </w:tc>
        <w:tc>
          <w:tcPr>
            <w:tcW w:type="dxa" w:w="3024"/>
          </w:tcPr>
          <w:p>
            <w:r>
              <w:rPr>
                <w:rFonts w:ascii="Times New Roman" w:hAnsi="Times New Roman"/>
                <w:sz w:val="20"/>
              </w:rPr>
              <w:t>Nochmals Gebühren OLG Celle</w:t>
            </w:r>
          </w:p>
        </w:tc>
      </w:tr>
    </w:tbl>
    <w:p>
      <w:pPr>
        <w:jc w:val="left"/>
      </w:pPr>
      <w:r>
        <w:t>Gesamtkostenrisiko beider Parteien bis Urteil: EUR 80.000–130.000 (ohne Vergleich). Bei PKH Übernahme durch Staatskasse (bis zum Ende des Verfahrens); Rückzahlungspflicht nach § 120a ZPO bei verbesserter Vermögenslage.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