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Zeitstrahl Gesamtfall — Meinhardt ./. Evangelisches Klinikum Bad Salzdetfurth</w:t>
      </w:r>
    </w:p>
    <w:p>
      <w:pPr>
        <w:jc w:val="left"/>
      </w:pPr>
      <w:r>
        <w:t>Stand: Juni 2025</w:t>
      </w:r>
    </w:p>
    <w:p/>
    <w:p>
      <w:pPr>
        <w:pStyle w:val="Heading2"/>
      </w:pPr>
      <w:r>
        <w:rPr>
          <w:rFonts w:ascii="Times New Roman" w:hAnsi="Times New Roman"/>
        </w:rPr>
        <w:t>2024</w:t>
      </w:r>
    </w:p>
    <w:p>
      <w:pPr>
        <w:jc w:val="left"/>
      </w:pPr>
      <w:r>
        <w:rPr>
          <w:b/>
        </w:rPr>
        <w:t>12. Juli 2024</w:t>
      </w:r>
      <w:r>
        <w:t xml:space="preserve"> — Errechneter Geburtstermin (ET) nach Ultraschall</w:t>
      </w:r>
    </w:p>
    <w:p>
      <w:pPr>
        <w:jc w:val="left"/>
      </w:pPr>
      <w:r>
        <w:rPr>
          <w:b/>
        </w:rPr>
        <w:t>17. Juli 2024, 21:48 Uhr</w:t>
      </w:r>
      <w:r>
        <w:t xml:space="preserve"> — Aufnahme Frau Meinhardt, Kreißsaal Evangelisches Klinikum Bad Salzdetfurth. Dienst: Beleghebamme Sander. → AS 02, AS 03</w:t>
      </w:r>
    </w:p>
    <w:p>
      <w:pPr>
        <w:jc w:val="left"/>
      </w:pPr>
      <w:r>
        <w:rPr>
          <w:b/>
        </w:rPr>
        <w:t>17./18. Juli 2024, 23:25 Uhr</w:t>
      </w:r>
      <w:r>
        <w:t xml:space="preserve"> — Erstmaliges Auftreten später Dezelerationen im CTG. Kein Arzt gezogen, keine MBU. → AS 04</w:t>
      </w:r>
    </w:p>
    <w:p>
      <w:pPr>
        <w:jc w:val="left"/>
      </w:pPr>
      <w:r>
        <w:rPr>
          <w:b/>
        </w:rPr>
        <w:t>18. Juli 2024, 01:12 Uhr</w:t>
      </w:r>
      <w:r>
        <w:t xml:space="preserve"> — Schichtwechsel Sander → Pfletschinger. Übergabe nach Aktenlage unzureichend. → AS 02, AS 16</w:t>
      </w:r>
    </w:p>
    <w:p>
      <w:pPr>
        <w:jc w:val="left"/>
      </w:pPr>
      <w:r>
        <w:rPr>
          <w:b/>
        </w:rPr>
        <w:t>18. Juli 2024, 02:30 Uhr</w:t>
      </w:r>
      <w:r>
        <w:t xml:space="preserve"> — Eintrag pH 7,28 durch Dr. Voth, Herkunft des Messwerts unklar. → AS 03, AS 04</w:t>
      </w:r>
    </w:p>
    <w:p>
      <w:pPr>
        <w:jc w:val="left"/>
      </w:pPr>
      <w:r>
        <w:rPr>
          <w:b/>
        </w:rPr>
        <w:t>18. Juli 2024, 03:47 Uhr</w:t>
      </w:r>
      <w:r>
        <w:t xml:space="preserve"> — Notsectio nach Bradykardie. Helene Meinhardt geboren 03:54 Uhr, Apgar 1/3/5, NSpH 6,92. Sofort NICU. → AS 03</w:t>
      </w:r>
    </w:p>
    <w:p>
      <w:pPr>
        <w:jc w:val="left"/>
      </w:pPr>
      <w:r>
        <w:rPr>
          <w:b/>
        </w:rPr>
        <w:t>22. Juli 2024</w:t>
      </w:r>
      <w:r>
        <w:t xml:space="preserve"> — MRT Helene: ausgedehnte kortikale/subkortikale Läsionen, HIE Grad III. → AS 08</w:t>
      </w:r>
    </w:p>
    <w:p>
      <w:pPr>
        <w:jc w:val="left"/>
      </w:pPr>
      <w:r>
        <w:rPr>
          <w:b/>
        </w:rPr>
        <w:t>25. Juli 2024</w:t>
      </w:r>
      <w:r>
        <w:t xml:space="preserve"> — Strafanzeige Frau Meinhardt (ohne Anwalt) bei Polizeidirektion Hildesheim. → AS 17</w:t>
      </w:r>
    </w:p>
    <w:p>
      <w:pPr>
        <w:jc w:val="left"/>
      </w:pPr>
      <w:r>
        <w:rPr>
          <w:b/>
        </w:rPr>
        <w:t>28. August 2024</w:t>
      </w:r>
      <w:r>
        <w:t xml:space="preserve"> — Helene Meinhardt aus NICU entlassen; häusliche Pflege mit ambulantem Pflegedienst.</w:t>
      </w:r>
    </w:p>
    <w:p>
      <w:pPr>
        <w:jc w:val="left"/>
      </w:pPr>
      <w:r>
        <w:rPr>
          <w:b/>
        </w:rPr>
        <w:t>September 2024</w:t>
      </w:r>
      <w:r>
        <w:t xml:space="preserve"> — Versorgungsamt Hildesheim: GdB 100, Merkzeichen aG/H/B. → AS 12</w:t>
      </w:r>
    </w:p>
    <w:p>
      <w:pPr>
        <w:jc w:val="left"/>
      </w:pPr>
      <w:r>
        <w:rPr>
          <w:b/>
        </w:rPr>
        <w:t>Oktober 2024</w:t>
      </w:r>
      <w:r>
        <w:t xml:space="preserve"> — Pflegekasse AOK: Pflegegrad 5 für Helene. → AS 12</w:t>
      </w:r>
    </w:p>
    <w:p>
      <w:pPr>
        <w:jc w:val="left"/>
      </w:pPr>
      <w:r>
        <w:rPr>
          <w:b/>
        </w:rPr>
        <w:t>02. Oktober 2024</w:t>
      </w:r>
      <w:r>
        <w:t xml:space="preserve"> — Schlichtungsantrag bei Gutachter- und Schlichtungsstelle ÄK Niedersachsen. → AS 06</w:t>
      </w:r>
    </w:p>
    <w:p>
      <w:pPr>
        <w:jc w:val="left"/>
      </w:pPr>
      <w:r>
        <w:rPr>
          <w:b/>
        </w:rPr>
        <w:t>November 2024</w:t>
      </w:r>
      <w:r>
        <w:t xml:space="preserve"> — Erstgespräch Frau Meinhardt bei Kanzlei Klotzkette, RAin Wachhorst. Mandatsannahme 14.11.2024. → AS 01</w:t>
      </w:r>
    </w:p>
    <w:p>
      <w:pPr>
        <w:jc w:val="left"/>
      </w:pPr>
      <w:r>
        <w:rPr>
          <w:b/>
        </w:rPr>
        <w:t>November 2024</w:t>
      </w:r>
      <w:r>
        <w:t xml:space="preserve"> — EUTB-Beratung Hildesheim. → AS 12</w:t>
      </w:r>
    </w:p>
    <w:p>
      <w:pPr>
        <w:jc w:val="left"/>
      </w:pPr>
      <w:r>
        <w:rPr>
          <w:b/>
        </w:rPr>
        <w:t>18. November 2024</w:t>
      </w:r>
      <w:r>
        <w:t xml:space="preserve"> — Akteneinsichtsantrag nach § 630g BGB an Klinik. → AS 09</w:t>
      </w:r>
    </w:p>
    <w:p>
      <w:pPr>
        <w:jc w:val="left"/>
      </w:pPr>
      <w:r>
        <w:rPr>
          <w:b/>
        </w:rPr>
        <w:t>07. Oktober 2024</w:t>
      </w:r>
      <w:r>
        <w:t xml:space="preserve"> — Schlichtungsantrag beim Sekretariat der AÄK-Schlichtungsstelle eingegangen (Eingangsbestätigung).</w:t>
      </w:r>
    </w:p>
    <w:p>
      <w:pPr>
        <w:jc w:val="left"/>
      </w:pPr>
      <w:r>
        <w:rPr>
          <w:b/>
        </w:rPr>
        <w:t>Dezember 2024</w:t>
      </w:r>
      <w:r>
        <w:t xml:space="preserve"> — Sachverständige Dr. Rohdenburg-Kock (Strafverfahren) gibt Stellungnahme ab. → AS 17</w:t>
      </w:r>
    </w:p>
    <w:p>
      <w:pPr>
        <w:jc w:val="left"/>
      </w:pPr>
      <w:r>
        <w:rPr>
          <w:b/>
        </w:rPr>
        <w:t>08. Dezember 2024</w:t>
      </w:r>
      <w:r>
        <w:t xml:space="preserve"> — AOK Niedersachsen lehnt Hippotherapie-Kostenübernahme ab. → AS 14</w:t>
      </w:r>
    </w:p>
    <w:p>
      <w:pPr>
        <w:jc w:val="left"/>
      </w:pPr>
      <w:r>
        <w:rPr>
          <w:b/>
        </w:rPr>
        <w:t>19. Dezember 2024</w:t>
      </w:r>
      <w:r>
        <w:t xml:space="preserve"> — Klinik übermittelt vollständige Patientenakte (vollständigkeit bestritten). → AS 03, AS 09</w:t>
      </w:r>
    </w:p>
    <w:p>
      <w:pPr>
        <w:jc w:val="left"/>
      </w:pPr>
      <w:r>
        <w:rPr>
          <w:b/>
        </w:rPr>
        <w:t>Dezember 2024</w:t>
      </w:r>
      <w:r>
        <w:t xml:space="preserve"> — Schlichtungsstelle: Gutachtenauftrag an Prof. Dr. M.-G. und Dr. P.-R. → AS 07, AS 08</w:t>
      </w:r>
    </w:p>
    <w:p/>
    <w:p>
      <w:pPr>
        <w:pStyle w:val="Heading2"/>
      </w:pPr>
      <w:r>
        <w:rPr>
          <w:rFonts w:ascii="Times New Roman" w:hAnsi="Times New Roman"/>
        </w:rPr>
        <w:t>2025</w:t>
      </w:r>
    </w:p>
    <w:p>
      <w:pPr>
        <w:jc w:val="left"/>
      </w:pPr>
      <w:r>
        <w:rPr>
          <w:b/>
        </w:rPr>
        <w:t>08. Januar 2025</w:t>
      </w:r>
      <w:r>
        <w:t xml:space="preserve"> — Patientenakte bei Kanzlei eingegangen.</w:t>
      </w:r>
    </w:p>
    <w:p>
      <w:pPr>
        <w:jc w:val="left"/>
      </w:pPr>
      <w:r>
        <w:rPr>
          <w:b/>
        </w:rPr>
        <w:t>10. Januar 2025</w:t>
      </w:r>
      <w:r>
        <w:t xml:space="preserve"> — Widerspruch Hippotherapie (RA Dr. Reuss). → AS 14</w:t>
      </w:r>
    </w:p>
    <w:p>
      <w:pPr>
        <w:jc w:val="left"/>
      </w:pPr>
      <w:r>
        <w:rPr>
          <w:b/>
        </w:rPr>
        <w:t>14. Januar 2025</w:t>
      </w:r>
      <w:r>
        <w:t xml:space="preserve"> — Mängelrüge an Klinik (fehlender CTG-Bogen 5, Schichtplan fehlt). → AS 09</w:t>
      </w:r>
    </w:p>
    <w:p>
      <w:pPr>
        <w:jc w:val="left"/>
      </w:pPr>
      <w:r>
        <w:rPr>
          <w:b/>
        </w:rPr>
        <w:t>15. Januar 2025</w:t>
      </w:r>
      <w:r>
        <w:t xml:space="preserve"> — Widerspruch gegen Ablehnung Frühförderung (RA Dr. Reuss). → AS 12</w:t>
      </w:r>
    </w:p>
    <w:p>
      <w:pPr>
        <w:jc w:val="left"/>
      </w:pPr>
      <w:r>
        <w:rPr>
          <w:b/>
        </w:rPr>
        <w:t>28. Januar 2025</w:t>
      </w:r>
      <w:r>
        <w:t xml:space="preserve"> — Klinik weist Behandlungsfehlervorwurf zurück (Kanzlei Bennewald &amp; Wendelborg). → AS 09</w:t>
      </w:r>
    </w:p>
    <w:p>
      <w:pPr>
        <w:jc w:val="left"/>
      </w:pPr>
      <w:r>
        <w:rPr>
          <w:b/>
        </w:rPr>
        <w:t>20. Januar 2025</w:t>
      </w:r>
      <w:r>
        <w:t xml:space="preserve"> — SPZ Hannover verordnet Botulinumtoxin A obere Extremitäten. → AS 14</w:t>
      </w:r>
    </w:p>
    <w:p>
      <w:pPr>
        <w:jc w:val="left"/>
      </w:pPr>
      <w:r>
        <w:rPr>
          <w:b/>
        </w:rPr>
        <w:t>14. Februar 2025</w:t>
      </w:r>
      <w:r>
        <w:t xml:space="preserve"> — AOK Niedersachsen lehnt Botulinumtoxin ab. → AS 14</w:t>
      </w:r>
    </w:p>
    <w:p>
      <w:pPr>
        <w:jc w:val="left"/>
      </w:pPr>
      <w:r>
        <w:rPr>
          <w:b/>
        </w:rPr>
        <w:t>12. Februar 2025</w:t>
      </w:r>
      <w:r>
        <w:t xml:space="preserve"> — AssekuranzAlpha AG: Reservierungsanzeige. → AS 10</w:t>
      </w:r>
    </w:p>
    <w:p>
      <w:pPr>
        <w:jc w:val="left"/>
      </w:pPr>
      <w:r>
        <w:rPr>
          <w:b/>
        </w:rPr>
        <w:t>28. Februar 2025</w:t>
      </w:r>
      <w:r>
        <w:t xml:space="preserve"> — Widerspruch Botulinumtoxin (RA Dr. Reuss). → AS 14</w:t>
      </w:r>
    </w:p>
    <w:p>
      <w:pPr>
        <w:jc w:val="left"/>
      </w:pPr>
      <w:r>
        <w:rPr>
          <w:b/>
        </w:rPr>
        <w:t>März 2025</w:t>
      </w:r>
      <w:r>
        <w:t xml:space="preserve"> — Frau Meinhardt: stationärer Klinikaufenthalt, SARS-CoV-2-Infektion, Post-COVID-Entwicklung. → AS 13</w:t>
      </w:r>
    </w:p>
    <w:p>
      <w:pPr>
        <w:jc w:val="left"/>
      </w:pPr>
      <w:r>
        <w:rPr>
          <w:b/>
        </w:rPr>
        <w:t>14. März 2025</w:t>
      </w:r>
      <w:r>
        <w:t xml:space="preserve"> — Staatsanwaltschaft Hildesheim: Einstellung § 170 Abs. 2 StPO. → AS 17</w:t>
      </w:r>
    </w:p>
    <w:p>
      <w:pPr>
        <w:jc w:val="left"/>
      </w:pPr>
      <w:r>
        <w:rPr>
          <w:b/>
        </w:rPr>
        <w:t>14. März 2025</w:t>
      </w:r>
      <w:r>
        <w:t xml:space="preserve"> — Gutachten Prof. Dr. M.-G. und Dr. P.-R. bei Schlichtungsstelle eingegangen. → AS 08</w:t>
      </w:r>
    </w:p>
    <w:p>
      <w:pPr>
        <w:jc w:val="left"/>
      </w:pPr>
      <w:r>
        <w:rPr>
          <w:b/>
        </w:rPr>
        <w:t>21. März 2025</w:t>
      </w:r>
      <w:r>
        <w:t xml:space="preserve"> — AssekuranzAlpha: Vergleichsangebot EUR 95.000. → AS 10</w:t>
      </w:r>
    </w:p>
    <w:p>
      <w:pPr>
        <w:jc w:val="left"/>
      </w:pPr>
      <w:r>
        <w:rPr>
          <w:b/>
        </w:rPr>
        <w:t>20. April 2025</w:t>
      </w:r>
      <w:r>
        <w:t xml:space="preserve"> — AOK: Widerspruchsbescheid Botulinumtoxin — Ablehnung. → AS 14</w:t>
      </w:r>
    </w:p>
    <w:p>
      <w:pPr>
        <w:jc w:val="left"/>
      </w:pPr>
      <w:r>
        <w:rPr>
          <w:b/>
        </w:rPr>
        <w:t>08. April 2025</w:t>
      </w:r>
      <w:r>
        <w:t xml:space="preserve"> — Kanzlei lehnt Vergleichsangebot ab. → AS 10</w:t>
      </w:r>
    </w:p>
    <w:p>
      <w:pPr>
        <w:jc w:val="left"/>
      </w:pPr>
      <w:r>
        <w:rPr>
          <w:b/>
        </w:rPr>
        <w:t>März–April 2025</w:t>
      </w:r>
      <w:r>
        <w:t xml:space="preserve"> — Stellungnahmen im Schlichtungsverfahren (Parteien).</w:t>
      </w:r>
    </w:p>
    <w:p>
      <w:pPr>
        <w:jc w:val="left"/>
      </w:pPr>
      <w:r>
        <w:rPr>
          <w:b/>
        </w:rPr>
        <w:t>05. Mai 2025</w:t>
      </w:r>
      <w:r>
        <w:t xml:space="preserve"> — Schlichtungsentscheid: Behandlungsfehler überwiegend wahrscheinlich, Schlichtungsvorschlag EUR 180.000. → AS 07</w:t>
      </w:r>
    </w:p>
    <w:p>
      <w:pPr>
        <w:jc w:val="left"/>
      </w:pPr>
      <w:r>
        <w:rPr>
          <w:b/>
        </w:rPr>
        <w:t>08. Mai 2025</w:t>
      </w:r>
      <w:r>
        <w:t xml:space="preserve"> — Zustellung Schlichtungsentscheid an Parteien. → Email-Anhang 2025-05-08</w:t>
      </w:r>
    </w:p>
    <w:p>
      <w:pPr>
        <w:jc w:val="left"/>
      </w:pPr>
      <w:r>
        <w:rPr>
          <w:b/>
        </w:rPr>
        <w:t>14. Mai 2025</w:t>
      </w:r>
      <w:r>
        <w:t xml:space="preserve"> — Klinik (Wendelborg) lehnt Schlichtungsvorschlag ab. → AS 09, Email-Anhang 2025-05-14</w:t>
      </w:r>
    </w:p>
    <w:p>
      <w:pPr>
        <w:jc w:val="left"/>
      </w:pPr>
      <w:r>
        <w:rPr>
          <w:b/>
        </w:rPr>
        <w:t>15. Mai 2025</w:t>
      </w:r>
      <w:r>
        <w:t xml:space="preserve"> — Klage SG Hannover (Botulinumtoxin). → AS 14</w:t>
      </w:r>
    </w:p>
    <w:p>
      <w:pPr>
        <w:jc w:val="left"/>
      </w:pPr>
      <w:r>
        <w:rPr>
          <w:b/>
        </w:rPr>
        <w:t>20. Mai 2025</w:t>
      </w:r>
      <w:r>
        <w:t xml:space="preserve"> — Kanzlei lehnt Schlichtungsvorschlag ab (Mandantin entscheidet sich für Klage). → AS 07</w:t>
      </w:r>
    </w:p>
    <w:p>
      <w:pPr>
        <w:jc w:val="left"/>
      </w:pPr>
      <w:r>
        <w:rPr>
          <w:b/>
        </w:rPr>
        <w:t>20. Mai 2025</w:t>
      </w:r>
      <w:r>
        <w:t xml:space="preserve"> — AssekuranzAlpha: Interesse an Globalabfindung. → AS 10</w:t>
      </w:r>
    </w:p>
    <w:p>
      <w:pPr>
        <w:jc w:val="left"/>
      </w:pPr>
      <w:r>
        <w:rPr>
          <w:b/>
        </w:rPr>
        <w:t>02. Juni 2025</w:t>
      </w:r>
      <w:r>
        <w:t xml:space="preserve"> — SPZ/MHH stellt Antrag Off-Label Maraviroc für Frau Meinhardt. → AS 13</w:t>
      </w:r>
    </w:p>
    <w:p>
      <w:pPr>
        <w:jc w:val="left"/>
      </w:pPr>
      <w:r>
        <w:rPr>
          <w:b/>
        </w:rPr>
        <w:t>10. Juni 2025</w:t>
      </w:r>
      <w:r>
        <w:t xml:space="preserve"> — Mahnung Untätigkeitsklage gegenüber AOK wegen Hippotherapie-Widerspruch. → AS 14</w:t>
      </w:r>
    </w:p>
    <w:p>
      <w:pPr>
        <w:jc w:val="left"/>
      </w:pPr>
      <w:r>
        <w:rPr>
          <w:b/>
        </w:rPr>
        <w:t>25. Juni 2025</w:t>
      </w:r>
      <w:r>
        <w:t xml:space="preserve"> — MD-Ablehnung Maraviroc. → AS 13</w:t>
      </w:r>
    </w:p>
    <w:p>
      <w:pPr>
        <w:jc w:val="left"/>
      </w:pPr>
      <w:r>
        <w:rPr>
          <w:b/>
        </w:rPr>
        <w:t>14. Juli 2025</w:t>
      </w:r>
      <w:r>
        <w:t xml:space="preserve"> — Widerspruch Maraviroc (RA Dr. Reuss). → AS 13</w:t>
      </w:r>
    </w:p>
    <w:p>
      <w:pPr>
        <w:jc w:val="left"/>
      </w:pPr>
      <w:r>
        <w:rPr>
          <w:b/>
        </w:rPr>
        <w:t>[geplant: August/September 2025]</w:t>
      </w:r>
      <w:r>
        <w:t xml:space="preserve"> — Klageeinreichung LG Hildesheim. → AS 20</w:t>
      </w:r>
    </w:p>
    <w:p/>
    <w:p>
      <w:pPr>
        <w:pStyle w:val="Heading2"/>
      </w:pPr>
      <w:r>
        <w:rPr>
          <w:rFonts w:ascii="Times New Roman" w:hAnsi="Times New Roman"/>
        </w:rPr>
        <w:t>Offene Verfahren (Stand Juni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Zivilklage LG Hildesheim (Hauptsache)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Klageschrift in Vorbereitung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SG Hannover Botulinumtoxin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eingereicht Mai 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Hippotherapie AOK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Läuft, Untätigkeit gerügt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Frühförderung Pflegekasse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Läuft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Maraviroc AOK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Eingelegt Juli 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Persönliches Budget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unbesch. März 2025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