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Vergleichskorridor und Verhandlungsstrategie</w:t>
      </w:r>
    </w:p>
    <w:p>
      <w:pPr>
        <w:jc w:val="left"/>
      </w:pPr>
      <w:r>
        <w:t>Bearbeiterin: RAin Wachhorst (mit Anmerkungen RA Dr. Reuss)</w:t>
      </w:r>
    </w:p>
    <w:p>
      <w:pPr>
        <w:jc w:val="left"/>
      </w:pPr>
      <w:r>
        <w:t>Streng vertraulich — nur interne Verwendung</w:t>
      </w:r>
    </w:p>
    <w:p>
      <w:pPr>
        <w:jc w:val="left"/>
      </w:pPr>
      <w:r>
        <w:t>Stand: Juni 2025</w:t>
      </w:r>
    </w:p>
    <w:p/>
    <w:p>
      <w:pPr>
        <w:pStyle w:val="Heading2"/>
      </w:pPr>
      <w:r>
        <w:rPr>
          <w:rFonts w:ascii="Times New Roman" w:hAnsi="Times New Roman"/>
        </w:rPr>
        <w:t>I. Ausgangssituation</w:t>
      </w:r>
    </w:p>
    <w:p>
      <w:pPr>
        <w:jc w:val="left"/>
      </w:pPr>
      <w:r>
        <w:t>Das Schlichtungsverfahren hat den Behandlungsfehler bestätigt. Der Schlichtungsvorschlag EUR 180.000 wurde von der Klinik abgelehnt. Das Vergleichsangebot des Versicherers (EUR 95.000) wurde von der Mandantin abgelehnt. Klageschrift ist in Vorbereitung.</w:t>
      </w:r>
    </w:p>
    <w:p>
      <w:pPr>
        <w:jc w:val="left"/>
      </w:pPr>
      <w:r>
        <w:t>Die Klage wird beim LG Hildesheim eingereicht. Zuständige Kammer: Zivilkammer, voraussichtlich eine der für Arzthaftungssachen eingerichteten Spezialkammern (beim LG Hildesheim existiert eine Kammer für Arzthaftungssachen, die seit Jahren etabliert ist).</w:t>
      </w:r>
    </w:p>
    <w:p/>
    <w:p>
      <w:pPr>
        <w:pStyle w:val="Heading2"/>
      </w:pPr>
      <w:r>
        <w:rPr>
          <w:rFonts w:ascii="Times New Roman" w:hAnsi="Times New Roman"/>
        </w:rPr>
        <w:t>II. Best Case / Worst Case</w:t>
      </w:r>
    </w:p>
    <w:p>
      <w:pPr>
        <w:pStyle w:val="Heading3"/>
      </w:pPr>
      <w:r>
        <w:rPr>
          <w:rFonts w:ascii="Times New Roman" w:hAnsi="Times New Roman"/>
        </w:rPr>
        <w:t>Best Case</w:t>
      </w:r>
    </w:p>
    <w:p>
      <w:pPr>
        <w:pStyle w:val="ListNumber"/>
      </w:pPr>
      <w:r>
        <w:t>LG Hildesheim bejaht groben Behandlungsfehler (§ 630h Abs. 5 BGB): Beweislastumkehr für Kausalität.</w:t>
      </w:r>
    </w:p>
    <w:p>
      <w:pPr>
        <w:pStyle w:val="ListNumber"/>
      </w:pPr>
      <w:r>
        <w:t>Gerichtlicher Sachverständiger bestätigt vollständige Kausalität zwischen Behandlungsfehler und HIE/ICP.</w:t>
      </w:r>
    </w:p>
    <w:p>
      <w:pPr>
        <w:pStyle w:val="ListNumber"/>
      </w:pPr>
      <w:r>
        <w:t>Gericht spricht Schmerzensgeld Helene EUR 400.000–450.000 zu (vergleichbare OLG-Entscheidungen liegen in diesem Bereich bei schwersten Geburtsschäden).</w:t>
      </w:r>
    </w:p>
    <w:p>
      <w:pPr>
        <w:pStyle w:val="ListNumber"/>
      </w:pPr>
      <w:r>
        <w:t>Materieller Schaden mit Feststellungsanteil vollständig zugesprochen.</w:t>
      </w:r>
    </w:p>
    <w:p>
      <w:pPr>
        <w:pStyle w:val="ListNumber"/>
      </w:pPr>
      <w:r>
        <w:t>Versicherer AssekuranzAlpha zahlt; Klinik zahlt; Sozialversicherungsträger-Rückgriff koordiniert.</w:t>
      </w:r>
    </w:p>
    <w:p>
      <w:pPr>
        <w:jc w:val="left"/>
      </w:pPr>
      <w:r>
        <w:rPr>
          <w:b/>
        </w:rPr>
        <w:t>Best-Case-Gesamtbetrag Mandantin:</w:t>
      </w:r>
      <w:r>
        <w:t xml:space="preserve"> EUR 500.000–600.000 (nur der bezifferte Teil inkl. Feststellung für nächste 5 Jahre).</w:t>
      </w:r>
    </w:p>
    <w:p>
      <w:pPr>
        <w:pStyle w:val="Heading3"/>
      </w:pPr>
      <w:r>
        <w:rPr>
          <w:rFonts w:ascii="Times New Roman" w:hAnsi="Times New Roman"/>
        </w:rPr>
        <w:t>Worst Case</w:t>
      </w:r>
    </w:p>
    <w:p>
      <w:pPr>
        <w:pStyle w:val="ListNumber"/>
      </w:pPr>
      <w:r>
        <w:t>Gericht verneint groben Behandlungsfehler; normaler Behandlungsfehler bleibt.</w:t>
      </w:r>
    </w:p>
    <w:p>
      <w:pPr>
        <w:pStyle w:val="ListNumber"/>
      </w:pPr>
      <w:r>
        <w:t>Sachverständiger sieht Kausalität nur überwiegend wahrscheinlich, nicht vollbeweislich.</w:t>
      </w:r>
    </w:p>
    <w:p>
      <w:pPr>
        <w:pStyle w:val="ListNumber"/>
      </w:pPr>
      <w:r>
        <w:t>Gericht wendet volle Beweislast gegen Klägerin an bei Kausalitätsfrage.</w:t>
      </w:r>
    </w:p>
    <w:p>
      <w:pPr>
        <w:pStyle w:val="ListNumber"/>
      </w:pPr>
      <w:r>
        <w:t>Klage teilweise abgewiesen; Schmerzensgeld deutlich unter Antrag.</w:t>
      </w:r>
    </w:p>
    <w:p>
      <w:pPr>
        <w:pStyle w:val="ListNumber"/>
      </w:pPr>
      <w:r>
        <w:t>Berufung zum OLG Celle notwendig.</w:t>
      </w:r>
    </w:p>
    <w:p>
      <w:pPr>
        <w:jc w:val="left"/>
      </w:pPr>
      <w:r>
        <w:rPr>
          <w:b/>
        </w:rPr>
        <w:t>Worst-Case-Szenario:</w:t>
      </w:r>
      <w:r>
        <w:t xml:space="preserve"> EUR 120.000–180.000 zugesprochen (Schmerzensgeld reduziert, materieller Schaden anteilig). Unklar, ob eine weiter verminderte Arbeitsfähigkeit der Mutter kausal auf den Behandlungsfehler zurückgeführt wird.</w:t>
      </w:r>
    </w:p>
    <w:p>
      <w:pPr>
        <w:pStyle w:val="Heading3"/>
      </w:pPr>
      <w:r>
        <w:rPr>
          <w:rFonts w:ascii="Times New Roman" w:hAnsi="Times New Roman"/>
        </w:rPr>
        <w:t>Realistische Bandbreite</w:t>
      </w:r>
    </w:p>
    <w:p>
      <w:pPr>
        <w:jc w:val="left"/>
      </w:pPr>
      <w:r>
        <w:rPr>
          <w:b/>
        </w:rPr>
        <w:t>EUR 200.000–400.000 Gesamtleistung</w:t>
      </w:r>
      <w:r>
        <w:t xml:space="preserve"> (inkl. Feststellungsanteile) erscheint auf Basis vergleichbarer Urteile realistisch. Entscheidend ist, ob das Gericht die Grob-Behandlungsfehler-Schwelle überschreitet und wie der Sachverständige die Kausalität gewichtet.</w:t>
      </w:r>
    </w:p>
    <w:p/>
    <w:p>
      <w:pPr>
        <w:pStyle w:val="Heading2"/>
      </w:pPr>
      <w:r>
        <w:rPr>
          <w:rFonts w:ascii="Times New Roman" w:hAnsi="Times New Roman"/>
        </w:rPr>
        <w:t>III. Vergleichskorridore</w:t>
      </w:r>
    </w:p>
    <w:p>
      <w:pPr>
        <w:pStyle w:val="Heading3"/>
      </w:pPr>
      <w:r>
        <w:rPr>
          <w:rFonts w:ascii="Times New Roman" w:hAnsi="Times New Roman"/>
        </w:rPr>
        <w:t>Mindestvergleich (absolute Schmerzensgrenze)</w:t>
      </w:r>
    </w:p>
    <w:p>
      <w:pPr>
        <w:jc w:val="left"/>
      </w:pPr>
      <w:r>
        <w:rPr>
          <w:b/>
        </w:rPr>
        <w:t>EUR 200.000 (gesamt)</w:t>
      </w:r>
    </w:p>
    <w:p>
      <w:pPr>
        <w:jc w:val="left"/>
      </w:pPr>
      <w:r>
        <w:t>Darunter ist für die Mandantin kein Vergleich sinnvoll: Helenes Pflegekosten bis 18 übersteigen EUR 200.000 schon rechnerisch; ein Gesamtvergleich, der diese nicht abdeckt, würde die Zukunft der Tochter finanziell nicht sichern.</w:t>
      </w:r>
    </w:p>
    <w:p>
      <w:pPr>
        <w:pStyle w:val="Heading3"/>
      </w:pPr>
      <w:r>
        <w:rPr>
          <w:rFonts w:ascii="Times New Roman" w:hAnsi="Times New Roman"/>
        </w:rPr>
        <w:t>Realvergleich (Empfehlung)</w:t>
      </w:r>
    </w:p>
    <w:p>
      <w:pPr>
        <w:jc w:val="left"/>
      </w:pPr>
      <w:r>
        <w:rPr>
          <w:b/>
        </w:rPr>
        <w:t>EUR 280.000–350.000</w:t>
      </w:r>
      <w:r>
        <w:t xml:space="preserve"> in folgender Aufschlüsselung:</w:t>
      </w:r>
    </w:p>
    <w:p>
      <w:pPr>
        <w:pStyle w:val="ListBullet"/>
      </w:pPr>
      <w:r>
        <w:t>Schmerzensgeld Helene: EUR 200.000–250.000</w:t>
      </w:r>
    </w:p>
    <w:p>
      <w:pPr>
        <w:pStyle w:val="ListBullet"/>
      </w:pPr>
      <w:r>
        <w:t>Schmerzensgeld Mutter: EUR 15.000–20.000</w:t>
      </w:r>
    </w:p>
    <w:p>
      <w:pPr>
        <w:pStyle w:val="ListBullet"/>
      </w:pPr>
      <w:r>
        <w:t>Materieller Schaden (bezifferter): EUR 57.800–80.000 (inkl. aufgerundete zukünftige Ist-Kosten)</w:t>
      </w:r>
    </w:p>
    <w:p>
      <w:pPr>
        <w:pStyle w:val="ListBullet"/>
      </w:pPr>
      <w:r>
        <w:t>Erwerbsminderung Mutter: Pauschale EUR 15.000–20.000</w:t>
      </w:r>
    </w:p>
    <w:p>
      <w:pPr>
        <w:pStyle w:val="ListBullet"/>
      </w:pPr>
      <w:r>
        <w:t>Feststellungsverzicht gegen Abfindungserhöhung: muss verhandelt werden</w:t>
      </w:r>
    </w:p>
    <w:p>
      <w:pPr>
        <w:pStyle w:val="Heading3"/>
      </w:pPr>
      <w:r>
        <w:rPr>
          <w:rFonts w:ascii="Times New Roman" w:hAnsi="Times New Roman"/>
        </w:rPr>
        <w:t>Nicht annehmbarer Bereich</w:t>
      </w:r>
    </w:p>
    <w:p>
      <w:pPr>
        <w:jc w:val="left"/>
      </w:pPr>
      <w:r>
        <w:t>Unter EUR 200.000 unter keinen Umständen akzeptieren.</w:t>
      </w:r>
    </w:p>
    <w:p/>
    <w:p>
      <w:pPr>
        <w:pStyle w:val="Heading2"/>
      </w:pPr>
      <w:r>
        <w:rPr>
          <w:rFonts w:ascii="Times New Roman" w:hAnsi="Times New Roman"/>
        </w:rPr>
        <w:t>IV. Verfahrensstrategie LG Hildesheim</w:t>
      </w:r>
    </w:p>
    <w:p>
      <w:pPr>
        <w:pStyle w:val="Heading3"/>
      </w:pPr>
      <w:r>
        <w:rPr>
          <w:rFonts w:ascii="Times New Roman" w:hAnsi="Times New Roman"/>
        </w:rPr>
        <w:t>Schriftliches Vorverfahren oder früher erster Termin?</w:t>
      </w:r>
    </w:p>
    <w:p>
      <w:pPr>
        <w:jc w:val="left"/>
      </w:pPr>
      <w:r>
        <w:t>Das LG Hildesheim bietet in Arzthaftungssachen regelmäßig ein schriftliches Vorverfahren nach § 276 ZPO an, gefolgt von einem frühen ersten Termin nach § 275 ZPO (häufig in Arzthaftungssachen mit eher frühem Verhandlungstermin als Gütertermin/Erörterungstermin).</w:t>
      </w:r>
    </w:p>
    <w:p>
      <w:pPr>
        <w:jc w:val="left"/>
      </w:pPr>
      <w:r>
        <w:rPr>
          <w:b/>
        </w:rPr>
        <w:t>Empfehlung:</w:t>
      </w:r>
      <w:r>
        <w:t xml:space="preserve"> Antrag auf frühen ersten Termin stellen, um rasch einen Erörterungstermin zu erhalten. Der frühe erste Termin ermöglicht eine informelle Einschätzung des Gerichts ohne formelle Beweisaufnahme und kann Grundlage eines Vergleichsgespräch sein.</w:t>
      </w:r>
    </w:p>
    <w:p>
      <w:pPr>
        <w:jc w:val="left"/>
      </w:pPr>
      <w:r>
        <w:t>Gleichzeitig: Sachverständigenantrag klar und vollständig formulieren, damit das Gericht keine Zeit verliert, den Beweisschluss anzuordnen.</w:t>
      </w:r>
    </w:p>
    <w:p>
      <w:pPr>
        <w:pStyle w:val="Heading3"/>
      </w:pPr>
      <w:r>
        <w:rPr>
          <w:rFonts w:ascii="Times New Roman" w:hAnsi="Times New Roman"/>
        </w:rPr>
        <w:t>Ablauf im Hauptverfahren</w:t>
      </w:r>
    </w:p>
    <w:p>
      <w:pPr>
        <w:pStyle w:val="ListNumber"/>
      </w:pPr>
      <w:r>
        <w:t>Klageschrift → Zustellung → Klageerwiderung (2–3 Monate)</w:t>
      </w:r>
    </w:p>
    <w:p>
      <w:pPr>
        <w:pStyle w:val="ListNumber"/>
      </w:pPr>
      <w:r>
        <w:t>Replik, Duplik</w:t>
      </w:r>
    </w:p>
    <w:p>
      <w:pPr>
        <w:pStyle w:val="ListNumber"/>
      </w:pPr>
      <w:r>
        <w:t>Beweisbeschluss: Sachverständigenbestellung durch Gericht (6–12 Monate)</w:t>
      </w:r>
    </w:p>
    <w:p>
      <w:pPr>
        <w:pStyle w:val="ListNumber"/>
      </w:pPr>
      <w:r>
        <w:t>Mündliche Sachverständigenanhörung (optional)</w:t>
      </w:r>
    </w:p>
    <w:p>
      <w:pPr>
        <w:pStyle w:val="ListNumber"/>
      </w:pPr>
      <w:r>
        <w:t>Urteil oder Vergleich</w:t>
      </w:r>
    </w:p>
    <w:p>
      <w:pPr>
        <w:jc w:val="left"/>
      </w:pPr>
      <w:r>
        <w:rPr>
          <w:b/>
        </w:rPr>
        <w:t>Zeitplanung:</w:t>
      </w:r>
      <w:r>
        <w:t xml:space="preserve"> Realistische Verfahrensdauer 2–4 Jahre bis rechtskräftiges Urteil LG. OLG-Berufung weitere 1–2 Jahre.</w:t>
      </w:r>
    </w:p>
    <w:p>
      <w:pPr>
        <w:pStyle w:val="Heading3"/>
      </w:pPr>
      <w:r>
        <w:rPr>
          <w:rFonts w:ascii="Times New Roman" w:hAnsi="Times New Roman"/>
        </w:rPr>
        <w:t>Sondertaktik: Beweissicherungsverfahren</w:t>
      </w:r>
    </w:p>
    <w:p>
      <w:pPr>
        <w:jc w:val="left"/>
      </w:pPr>
      <w:r>
        <w:t>Wurde nicht beantragt, da das Schlichtungsverfahren bereits eine sachverständige Grundlage geschaffen hat. Ein paralleles Beweissicherungsverfahren (§ 485 ZPO) ist nicht mehr notwendig, kann aber hilfsweise für neue Fragen dienen.</w:t>
      </w:r>
    </w:p>
    <w:p>
      <w:pPr>
        <w:pStyle w:val="Heading3"/>
      </w:pPr>
      <w:r>
        <w:rPr>
          <w:rFonts w:ascii="Times New Roman" w:hAnsi="Times New Roman"/>
        </w:rPr>
        <w:t>Haltung gegenüber Versicherer nach Klageeinreichung</w:t>
      </w:r>
    </w:p>
    <w:p>
      <w:pPr>
        <w:jc w:val="left"/>
      </w:pPr>
      <w:r>
        <w:t>Nach Klageeinreichung werden Vergleichsgespräche durch den Versicherer realistischer. Der Versicherer wird nach Zustellung der Klage erneut einschätzen. Es ist zu erwarten, dass nach der ersten Reaktion des Gerichts (z.B. Hinweis des Gerichts auf Beweislastverschiebung) ein verbessertes Angebot kommt.</w:t>
      </w:r>
    </w:p>
    <w:p>
      <w:pPr>
        <w:jc w:val="left"/>
      </w:pPr>
      <w:r>
        <w:rPr>
          <w:b/>
        </w:rPr>
        <w:t>Empfehlung:</w:t>
      </w:r>
      <w:r>
        <w:t xml:space="preserve"> Keine voreiligen Vergleichsgespräche vor erstem Termin; abwarten, ob das Gericht einen Hinweis nach § 139 ZPO gibt.</w:t>
      </w:r>
    </w:p>
    <w:p/>
    <w:p>
      <w:pPr>
        <w:pStyle w:val="Heading2"/>
      </w:pPr>
      <w:r>
        <w:rPr>
          <w:rFonts w:ascii="Times New Roman" w:hAnsi="Times New Roman"/>
        </w:rPr>
        <w:t>V. Berufungsrisiko OLG Celle</w:t>
      </w:r>
    </w:p>
    <w:p>
      <w:pPr>
        <w:jc w:val="left"/>
      </w:pPr>
      <w:r>
        <w:t>OLG Celle ist für Berufungen gegen LG Hildesheim in Arzthaftungssachen zuständig. OLG Celle hat in der Vergangenheit Arzthaftungssachen (gelegentlich zu eng) beurteilt; aber auch Urteile zugunsten von Patienten bestätigt. Eine Tendenz zur Kausalitätsbestreitung bei unklarem Zusammenhang ist zu beachten.</w:t>
      </w:r>
    </w:p>
    <w:p>
      <w:pPr>
        <w:jc w:val="left"/>
      </w:pPr>
      <w:r>
        <w:t>Risikofaktor: Wenn das LG einen groben Behandlungsfehler bejaht und die Klinik in Berufung geht, besteht das Risiko, dass das OLG diesen Schritt nicht mitgeht und die Kausalitätsfrage neu aufrollt.</w:t>
      </w:r>
    </w:p>
    <w:p>
      <w:pPr>
        <w:jc w:val="left"/>
      </w:pPr>
      <w:r>
        <w:rPr>
          <w:b/>
        </w:rPr>
        <w:t>Gegenmaßnahme:</w:t>
      </w:r>
      <w:r>
        <w:t xml:space="preserve"> Im LG-Verfahren auf eine vollständige Kausalitätsfeststellung durch zwei unabhängige Sachverständige dringen.</w:t>
      </w:r>
    </w:p>
    <w:p/>
    <w:p>
      <w:pPr>
        <w:pStyle w:val="Heading2"/>
      </w:pPr>
      <w:r>
        <w:rPr>
          <w:rFonts w:ascii="Times New Roman" w:hAnsi="Times New Roman"/>
        </w:rPr>
        <w:t>VI. Mandantenerwartungen und Beratungsinhalt</w:t>
      </w:r>
    </w:p>
    <w:p>
      <w:pPr>
        <w:jc w:val="left"/>
      </w:pPr>
      <w:r>
        <w:t>Frau Meinhardt hat im Gespräch Mai 2025 erklärt, sie möchte nicht primär Geld; sie wolle, dass „die Klinik die Verantwortung anerkennt". Das ist ein angemessenes Ziel, das jedoch rechtlich nur durch ein Urteil oder eine ausdrückliche Haftungsanerkennung im Vergleich erzielt werden kann. AssekuranzAlpha hat bisher nur „ohne Anerkennung einer Rechtspflicht" angeboten.</w:t>
      </w:r>
    </w:p>
    <w:p>
      <w:pPr>
        <w:jc w:val="left"/>
      </w:pPr>
      <w:r>
        <w:t>Für den Fall eines Vergleichs: Darauf dringen, dass die Anerkennung der haftungsrechtlichen Verantwortung zumindest für die interne Formulierung akzeptiert wird; öffentliche Pressemitteilungen sind selten vereinbart, aber möglich.</w:t>
      </w:r>
    </w:p>
    <w:p>
      <w:pPr>
        <w:jc w:val="left"/>
      </w:pPr>
      <w:r>
        <w:t>Mandantin ist über Verfahrensdauer (2–4 Jahre), Kostenrisiko und PKH informiert.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