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Dokumentationsmängel und Beweislastfolgen</w:t>
      </w:r>
    </w:p>
    <w:p>
      <w:pPr>
        <w:jc w:val="left"/>
      </w:pPr>
      <w:r>
        <w:t>Bearbeiterin: RAin Wachhorst</w:t>
      </w:r>
    </w:p>
    <w:p>
      <w:pPr>
        <w:jc w:val="left"/>
      </w:pPr>
      <w:r>
        <w:t>Stand: Mai 2025</w:t>
      </w:r>
    </w:p>
    <w:p/>
    <w:p>
      <w:pPr>
        <w:pStyle w:val="Heading2"/>
      </w:pPr>
      <w:r>
        <w:rPr>
          <w:rFonts w:ascii="Times New Roman" w:hAnsi="Times New Roman"/>
        </w:rPr>
        <w:t>1. Vorbemerkung</w:t>
      </w:r>
    </w:p>
    <w:p>
      <w:pPr>
        <w:jc w:val="left"/>
      </w:pPr>
      <w:r>
        <w:t>§ 630f BGB schreibt vollständige, unmittelbare und wahrheitsgemäße Dokumentation aller ärztlichen und pflegerischen Maßnahmen vor. § 630h Abs. 3 BGB bestimmt: Ist ein Behandlungsschritt nicht dokumentiert, wird widerleglich vermutet, dass er nicht stattgefunden hat. Der Arzt / die Klinik trägt die Beweislast für das Gegenteil.</w:t>
      </w:r>
    </w:p>
    <w:p>
      <w:pPr>
        <w:jc w:val="left"/>
      </w:pPr>
      <w:r>
        <w:t>Im vorliegenden Fall gibt es eine Häufung von Dokumentationslücken, die im Zusammenhang gelesen ein Muster ergeben. Ob dieses Muster auf Nachlässigkeit, Routineversagen oder eine nachträgliche Bearbeitung zurückgeht, ist für die Beweislastfrage irrelevant: In jedem Fall lösen die Lücken die Beweislastverschiebung aus.</w:t>
      </w:r>
    </w:p>
    <w:p/>
    <w:p>
      <w:pPr>
        <w:pStyle w:val="Heading2"/>
      </w:pPr>
      <w:r>
        <w:rPr>
          <w:rFonts w:ascii="Times New Roman" w:hAnsi="Times New Roman"/>
        </w:rPr>
        <w:t>2. Tabelle der Dokumentationsmängel</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Nr.</w:t>
            </w:r>
          </w:p>
        </w:tc>
        <w:tc>
          <w:tcPr>
            <w:tcW w:type="dxa" w:w="1814"/>
          </w:tcPr>
          <w:p>
            <w:r>
              <w:rPr>
                <w:rFonts w:ascii="Times New Roman" w:hAnsi="Times New Roman"/>
                <w:b/>
                <w:sz w:val="20"/>
              </w:rPr>
              <w:t>Dokument</w:t>
            </w:r>
          </w:p>
        </w:tc>
        <w:tc>
          <w:tcPr>
            <w:tcW w:type="dxa" w:w="1814"/>
          </w:tcPr>
          <w:p>
            <w:r>
              <w:rPr>
                <w:rFonts w:ascii="Times New Roman" w:hAnsi="Times New Roman"/>
                <w:b/>
                <w:sz w:val="20"/>
              </w:rPr>
              <w:t>Zeitraum / Inhalt</w:t>
            </w:r>
          </w:p>
        </w:tc>
        <w:tc>
          <w:tcPr>
            <w:tcW w:type="dxa" w:w="1814"/>
          </w:tcPr>
          <w:p>
            <w:r>
              <w:rPr>
                <w:rFonts w:ascii="Times New Roman" w:hAnsi="Times New Roman"/>
                <w:b/>
                <w:sz w:val="20"/>
              </w:rPr>
              <w:t>Art des Mangels</w:t>
            </w:r>
          </w:p>
        </w:tc>
        <w:tc>
          <w:tcPr>
            <w:tcW w:type="dxa" w:w="1814"/>
          </w:tcPr>
          <w:p>
            <w:r>
              <w:rPr>
                <w:rFonts w:ascii="Times New Roman" w:hAnsi="Times New Roman"/>
                <w:b/>
                <w:sz w:val="20"/>
              </w:rPr>
              <w:t>§ 630h-Folge</w:t>
            </w:r>
          </w:p>
        </w:tc>
      </w:tr>
      <w:tr>
        <w:tc>
          <w:tcPr>
            <w:tcW w:type="dxa" w:w="1814"/>
          </w:tcPr>
          <w:p>
            <w:r>
              <w:rPr>
                <w:rFonts w:ascii="Times New Roman" w:hAnsi="Times New Roman"/>
                <w:sz w:val="20"/>
              </w:rPr>
              <w:t>D-01</w:t>
            </w:r>
          </w:p>
        </w:tc>
        <w:tc>
          <w:tcPr>
            <w:tcW w:type="dxa" w:w="1814"/>
          </w:tcPr>
          <w:p>
            <w:r>
              <w:rPr>
                <w:rFonts w:ascii="Times New Roman" w:hAnsi="Times New Roman"/>
                <w:sz w:val="20"/>
              </w:rPr>
              <w:t>CTG-Auswertungsblatt</w:t>
            </w:r>
          </w:p>
        </w:tc>
        <w:tc>
          <w:tcPr>
            <w:tcW w:type="dxa" w:w="1814"/>
          </w:tcPr>
          <w:p>
            <w:r>
              <w:rPr>
                <w:rFonts w:ascii="Times New Roman" w:hAnsi="Times New Roman"/>
                <w:sz w:val="20"/>
              </w:rPr>
              <w:t>23:00–01:12: Feld „Maßnahmen" leer</w:t>
            </w:r>
          </w:p>
        </w:tc>
        <w:tc>
          <w:tcPr>
            <w:tcW w:type="dxa" w:w="1814"/>
          </w:tcPr>
          <w:p>
            <w:r>
              <w:rPr>
                <w:rFonts w:ascii="Times New Roman" w:hAnsi="Times New Roman"/>
                <w:sz w:val="20"/>
              </w:rPr>
              <w:t>Unterlassene Dokumentation einer Maßnahme (MBU oder Sectio-Indikation)</w:t>
            </w:r>
          </w:p>
        </w:tc>
        <w:tc>
          <w:tcPr>
            <w:tcW w:type="dxa" w:w="1814"/>
          </w:tcPr>
          <w:p>
            <w:r>
              <w:rPr>
                <w:rFonts w:ascii="Times New Roman" w:hAnsi="Times New Roman"/>
                <w:sz w:val="20"/>
              </w:rPr>
              <w:t>Vermutung: Maßnahme unterblieben</w:t>
            </w:r>
          </w:p>
        </w:tc>
      </w:tr>
      <w:tr>
        <w:tc>
          <w:tcPr>
            <w:tcW w:type="dxa" w:w="1814"/>
          </w:tcPr>
          <w:p>
            <w:r>
              <w:rPr>
                <w:rFonts w:ascii="Times New Roman" w:hAnsi="Times New Roman"/>
                <w:sz w:val="20"/>
              </w:rPr>
              <w:t>D-02</w:t>
            </w:r>
          </w:p>
        </w:tc>
        <w:tc>
          <w:tcPr>
            <w:tcW w:type="dxa" w:w="1814"/>
          </w:tcPr>
          <w:p>
            <w:r>
              <w:rPr>
                <w:rFonts w:ascii="Times New Roman" w:hAnsi="Times New Roman"/>
                <w:sz w:val="20"/>
              </w:rPr>
              <w:t>CTG-Auswertungsblatt</w:t>
            </w:r>
          </w:p>
        </w:tc>
        <w:tc>
          <w:tcPr>
            <w:tcW w:type="dxa" w:w="1814"/>
          </w:tcPr>
          <w:p>
            <w:r>
              <w:rPr>
                <w:rFonts w:ascii="Times New Roman" w:hAnsi="Times New Roman"/>
                <w:sz w:val="20"/>
              </w:rPr>
              <w:t>02:30–03:47: keine Einträge</w:t>
            </w:r>
          </w:p>
        </w:tc>
        <w:tc>
          <w:tcPr>
            <w:tcW w:type="dxa" w:w="1814"/>
          </w:tcPr>
          <w:p>
            <w:r>
              <w:rPr>
                <w:rFonts w:ascii="Times New Roman" w:hAnsi="Times New Roman"/>
                <w:sz w:val="20"/>
              </w:rPr>
              <w:t>Fehlende Bewertung des letzten Abschnitts</w:t>
            </w:r>
          </w:p>
        </w:tc>
        <w:tc>
          <w:tcPr>
            <w:tcW w:type="dxa" w:w="1814"/>
          </w:tcPr>
          <w:p>
            <w:r>
              <w:rPr>
                <w:rFonts w:ascii="Times New Roman" w:hAnsi="Times New Roman"/>
                <w:sz w:val="20"/>
              </w:rPr>
              <w:t>Vermutung: keine ärztliche Befundung</w:t>
            </w:r>
          </w:p>
        </w:tc>
      </w:tr>
      <w:tr>
        <w:tc>
          <w:tcPr>
            <w:tcW w:type="dxa" w:w="1814"/>
          </w:tcPr>
          <w:p>
            <w:r>
              <w:rPr>
                <w:rFonts w:ascii="Times New Roman" w:hAnsi="Times New Roman"/>
                <w:sz w:val="20"/>
              </w:rPr>
              <w:t>D-03</w:t>
            </w:r>
          </w:p>
        </w:tc>
        <w:tc>
          <w:tcPr>
            <w:tcW w:type="dxa" w:w="1814"/>
          </w:tcPr>
          <w:p>
            <w:r>
              <w:rPr>
                <w:rFonts w:ascii="Times New Roman" w:hAnsi="Times New Roman"/>
                <w:sz w:val="20"/>
              </w:rPr>
              <w:t>CTG-Bogen 5</w:t>
            </w:r>
          </w:p>
        </w:tc>
        <w:tc>
          <w:tcPr>
            <w:tcW w:type="dxa" w:w="1814"/>
          </w:tcPr>
          <w:p>
            <w:r>
              <w:rPr>
                <w:rFonts w:ascii="Times New Roman" w:hAnsi="Times New Roman"/>
                <w:sz w:val="20"/>
              </w:rPr>
              <w:t>03:05–03:47: Bogen fehlt vollständig</w:t>
            </w:r>
          </w:p>
        </w:tc>
        <w:tc>
          <w:tcPr>
            <w:tcW w:type="dxa" w:w="1814"/>
          </w:tcPr>
          <w:p>
            <w:r>
              <w:rPr>
                <w:rFonts w:ascii="Times New Roman" w:hAnsi="Times New Roman"/>
                <w:sz w:val="20"/>
              </w:rPr>
              <w:t>Fehlende Aufzeichnung</w:t>
            </w:r>
          </w:p>
        </w:tc>
        <w:tc>
          <w:tcPr>
            <w:tcW w:type="dxa" w:w="1814"/>
          </w:tcPr>
          <w:p>
            <w:r>
              <w:rPr>
                <w:rFonts w:ascii="Times New Roman" w:hAnsi="Times New Roman"/>
                <w:sz w:val="20"/>
              </w:rPr>
              <w:t>Vermutung: Bogen nie erstellt oder entfernt; ärztliche Reaktion auf Herztonmuster nicht dokumentiert</w:t>
            </w:r>
          </w:p>
        </w:tc>
      </w:tr>
      <w:tr>
        <w:tc>
          <w:tcPr>
            <w:tcW w:type="dxa" w:w="1814"/>
          </w:tcPr>
          <w:p>
            <w:r>
              <w:rPr>
                <w:rFonts w:ascii="Times New Roman" w:hAnsi="Times New Roman"/>
                <w:sz w:val="20"/>
              </w:rPr>
              <w:t>D-04</w:t>
            </w:r>
          </w:p>
        </w:tc>
        <w:tc>
          <w:tcPr>
            <w:tcW w:type="dxa" w:w="1814"/>
          </w:tcPr>
          <w:p>
            <w:r>
              <w:rPr>
                <w:rFonts w:ascii="Times New Roman" w:hAnsi="Times New Roman"/>
                <w:sz w:val="20"/>
              </w:rPr>
              <w:t>Partogramm 23:05</w:t>
            </w:r>
          </w:p>
        </w:tc>
        <w:tc>
          <w:tcPr>
            <w:tcW w:type="dxa" w:w="1814"/>
          </w:tcPr>
          <w:p>
            <w:r>
              <w:rPr>
                <w:rFonts w:ascii="Times New Roman" w:hAnsi="Times New Roman"/>
                <w:sz w:val="20"/>
              </w:rPr>
              <w:t>Eintrag „spät. Dez." unleserlich</w:t>
            </w:r>
          </w:p>
        </w:tc>
        <w:tc>
          <w:tcPr>
            <w:tcW w:type="dxa" w:w="1814"/>
          </w:tcPr>
          <w:p>
            <w:r>
              <w:rPr>
                <w:rFonts w:ascii="Times New Roman" w:hAnsi="Times New Roman"/>
                <w:sz w:val="20"/>
              </w:rPr>
              <w:t>Unleserliche Dokumentation</w:t>
            </w:r>
          </w:p>
        </w:tc>
        <w:tc>
          <w:tcPr>
            <w:tcW w:type="dxa" w:w="1814"/>
          </w:tcPr>
          <w:p>
            <w:r>
              <w:rPr>
                <w:rFonts w:ascii="Times New Roman" w:hAnsi="Times New Roman"/>
                <w:sz w:val="20"/>
              </w:rPr>
              <w:t>Inhalt gilt als nicht dokumentiert</w:t>
            </w:r>
          </w:p>
        </w:tc>
      </w:tr>
      <w:tr>
        <w:tc>
          <w:tcPr>
            <w:tcW w:type="dxa" w:w="1814"/>
          </w:tcPr>
          <w:p>
            <w:r>
              <w:rPr>
                <w:rFonts w:ascii="Times New Roman" w:hAnsi="Times New Roman"/>
                <w:sz w:val="20"/>
              </w:rPr>
              <w:t>D-05</w:t>
            </w:r>
          </w:p>
        </w:tc>
        <w:tc>
          <w:tcPr>
            <w:tcW w:type="dxa" w:w="1814"/>
          </w:tcPr>
          <w:p>
            <w:r>
              <w:rPr>
                <w:rFonts w:ascii="Times New Roman" w:hAnsi="Times New Roman"/>
                <w:sz w:val="20"/>
              </w:rPr>
              <w:t>Übergabeprotokoll 01:12</w:t>
            </w:r>
          </w:p>
        </w:tc>
        <w:tc>
          <w:tcPr>
            <w:tcW w:type="dxa" w:w="1814"/>
          </w:tcPr>
          <w:p>
            <w:r>
              <w:rPr>
                <w:rFonts w:ascii="Times New Roman" w:hAnsi="Times New Roman"/>
                <w:sz w:val="20"/>
              </w:rPr>
              <w:t>4 Zeilen, kein CTG-Status</w:t>
            </w:r>
          </w:p>
        </w:tc>
        <w:tc>
          <w:tcPr>
            <w:tcW w:type="dxa" w:w="1814"/>
          </w:tcPr>
          <w:p>
            <w:r>
              <w:rPr>
                <w:rFonts w:ascii="Times New Roman" w:hAnsi="Times New Roman"/>
                <w:sz w:val="20"/>
              </w:rPr>
              <w:t>Unvollständige Übergabe</w:t>
            </w:r>
          </w:p>
        </w:tc>
        <w:tc>
          <w:tcPr>
            <w:tcW w:type="dxa" w:w="1814"/>
          </w:tcPr>
          <w:p>
            <w:r>
              <w:rPr>
                <w:rFonts w:ascii="Times New Roman" w:hAnsi="Times New Roman"/>
                <w:sz w:val="20"/>
              </w:rPr>
              <w:t>Vermutung: Übergabe ohne Hinweis auf pathologisches CTG</w:t>
            </w:r>
          </w:p>
        </w:tc>
      </w:tr>
      <w:tr>
        <w:tc>
          <w:tcPr>
            <w:tcW w:type="dxa" w:w="1814"/>
          </w:tcPr>
          <w:p>
            <w:r>
              <w:rPr>
                <w:rFonts w:ascii="Times New Roman" w:hAnsi="Times New Roman"/>
                <w:sz w:val="20"/>
              </w:rPr>
              <w:t>D-06</w:t>
            </w:r>
          </w:p>
        </w:tc>
        <w:tc>
          <w:tcPr>
            <w:tcW w:type="dxa" w:w="1814"/>
          </w:tcPr>
          <w:p>
            <w:r>
              <w:rPr>
                <w:rFonts w:ascii="Times New Roman" w:hAnsi="Times New Roman"/>
                <w:sz w:val="20"/>
              </w:rPr>
              <w:t>Pflegedokumentation</w:t>
            </w:r>
          </w:p>
        </w:tc>
        <w:tc>
          <w:tcPr>
            <w:tcW w:type="dxa" w:w="1814"/>
          </w:tcPr>
          <w:p>
            <w:r>
              <w:rPr>
                <w:rFonts w:ascii="Times New Roman" w:hAnsi="Times New Roman"/>
                <w:sz w:val="20"/>
              </w:rPr>
              <w:t>03:00–03:47: keine Einträge</w:t>
            </w:r>
          </w:p>
        </w:tc>
        <w:tc>
          <w:tcPr>
            <w:tcW w:type="dxa" w:w="1814"/>
          </w:tcPr>
          <w:p>
            <w:r>
              <w:rPr>
                <w:rFonts w:ascii="Times New Roman" w:hAnsi="Times New Roman"/>
                <w:sz w:val="20"/>
              </w:rPr>
              <w:t>Komplette Lücke kurz vor Notsectio</w:t>
            </w:r>
          </w:p>
        </w:tc>
        <w:tc>
          <w:tcPr>
            <w:tcW w:type="dxa" w:w="1814"/>
          </w:tcPr>
          <w:p>
            <w:r>
              <w:rPr>
                <w:rFonts w:ascii="Times New Roman" w:hAnsi="Times New Roman"/>
                <w:sz w:val="20"/>
              </w:rPr>
              <w:t>Vermutung: keine pflegerischen Maßnahmen, kein ärztlicher Kontakt</w:t>
            </w:r>
          </w:p>
        </w:tc>
      </w:tr>
      <w:tr>
        <w:tc>
          <w:tcPr>
            <w:tcW w:type="dxa" w:w="1814"/>
          </w:tcPr>
          <w:p>
            <w:r>
              <w:rPr>
                <w:rFonts w:ascii="Times New Roman" w:hAnsi="Times New Roman"/>
                <w:sz w:val="20"/>
              </w:rPr>
              <w:t>D-07</w:t>
            </w:r>
          </w:p>
        </w:tc>
        <w:tc>
          <w:tcPr>
            <w:tcW w:type="dxa" w:w="1814"/>
          </w:tcPr>
          <w:p>
            <w:r>
              <w:rPr>
                <w:rFonts w:ascii="Times New Roman" w:hAnsi="Times New Roman"/>
                <w:sz w:val="20"/>
              </w:rPr>
              <w:t>pH-Eintrag 02:30</w:t>
            </w:r>
          </w:p>
        </w:tc>
        <w:tc>
          <w:tcPr>
            <w:tcW w:type="dxa" w:w="1814"/>
          </w:tcPr>
          <w:p>
            <w:r>
              <w:rPr>
                <w:rFonts w:ascii="Times New Roman" w:hAnsi="Times New Roman"/>
                <w:sz w:val="20"/>
              </w:rPr>
              <w:t>Wert ohne Labor-EDV-Beleg, ohne Methodik</w:t>
            </w:r>
          </w:p>
        </w:tc>
        <w:tc>
          <w:tcPr>
            <w:tcW w:type="dxa" w:w="1814"/>
          </w:tcPr>
          <w:p>
            <w:r>
              <w:rPr>
                <w:rFonts w:ascii="Times New Roman" w:hAnsi="Times New Roman"/>
                <w:sz w:val="20"/>
              </w:rPr>
              <w:t>Nicht nachvollziehbarer Eintrag</w:t>
            </w:r>
          </w:p>
        </w:tc>
        <w:tc>
          <w:tcPr>
            <w:tcW w:type="dxa" w:w="1814"/>
          </w:tcPr>
          <w:p>
            <w:r>
              <w:rPr>
                <w:rFonts w:ascii="Times New Roman" w:hAnsi="Times New Roman"/>
                <w:sz w:val="20"/>
              </w:rPr>
              <w:t>Beweiswert zweifelhaft; Klinik beweispflichtig für Messung</w:t>
            </w:r>
          </w:p>
        </w:tc>
      </w:tr>
      <w:tr>
        <w:tc>
          <w:tcPr>
            <w:tcW w:type="dxa" w:w="1814"/>
          </w:tcPr>
          <w:p>
            <w:r>
              <w:rPr>
                <w:rFonts w:ascii="Times New Roman" w:hAnsi="Times New Roman"/>
                <w:sz w:val="20"/>
              </w:rPr>
              <w:t>D-08</w:t>
            </w:r>
          </w:p>
        </w:tc>
        <w:tc>
          <w:tcPr>
            <w:tcW w:type="dxa" w:w="1814"/>
          </w:tcPr>
          <w:p>
            <w:r>
              <w:rPr>
                <w:rFonts w:ascii="Times New Roman" w:hAnsi="Times New Roman"/>
                <w:sz w:val="20"/>
              </w:rPr>
              <w:t>Aufklärungsprotokoll Sectio</w:t>
            </w:r>
          </w:p>
        </w:tc>
        <w:tc>
          <w:tcPr>
            <w:tcW w:type="dxa" w:w="1814"/>
          </w:tcPr>
          <w:p>
            <w:r>
              <w:rPr>
                <w:rFonts w:ascii="Times New Roman" w:hAnsi="Times New Roman"/>
                <w:sz w:val="20"/>
              </w:rPr>
              <w:t>Fehlt vollständig für Zeitraum 23:00–03:46</w:t>
            </w:r>
          </w:p>
        </w:tc>
        <w:tc>
          <w:tcPr>
            <w:tcW w:type="dxa" w:w="1814"/>
          </w:tcPr>
          <w:p>
            <w:r>
              <w:rPr>
                <w:rFonts w:ascii="Times New Roman" w:hAnsi="Times New Roman"/>
                <w:sz w:val="20"/>
              </w:rPr>
              <w:t>Keine Aufklärungsdokumentation</w:t>
            </w:r>
          </w:p>
        </w:tc>
        <w:tc>
          <w:tcPr>
            <w:tcW w:type="dxa" w:w="1814"/>
          </w:tcPr>
          <w:p>
            <w:r>
              <w:rPr>
                <w:rFonts w:ascii="Times New Roman" w:hAnsi="Times New Roman"/>
                <w:sz w:val="20"/>
              </w:rPr>
              <w:t>§ 630h Abs. 1 BGB: Klinik beweist hypothetischen Einwilligungsverzicht</w:t>
            </w:r>
          </w:p>
        </w:tc>
      </w:tr>
      <w:tr>
        <w:tc>
          <w:tcPr>
            <w:tcW w:type="dxa" w:w="1814"/>
          </w:tcPr>
          <w:p>
            <w:r>
              <w:rPr>
                <w:rFonts w:ascii="Times New Roman" w:hAnsi="Times New Roman"/>
                <w:sz w:val="20"/>
              </w:rPr>
              <w:t>D-09</w:t>
            </w:r>
          </w:p>
        </w:tc>
        <w:tc>
          <w:tcPr>
            <w:tcW w:type="dxa" w:w="1814"/>
          </w:tcPr>
          <w:p>
            <w:r>
              <w:rPr>
                <w:rFonts w:ascii="Times New Roman" w:hAnsi="Times New Roman"/>
                <w:sz w:val="20"/>
              </w:rPr>
              <w:t>Arztvisiteprotokoll</w:t>
            </w:r>
          </w:p>
        </w:tc>
        <w:tc>
          <w:tcPr>
            <w:tcW w:type="dxa" w:w="1814"/>
          </w:tcPr>
          <w:p>
            <w:r>
              <w:rPr>
                <w:rFonts w:ascii="Times New Roman" w:hAnsi="Times New Roman"/>
                <w:sz w:val="20"/>
              </w:rPr>
              <w:t>Kein Beleg für Arztbesuch 22:30–02:30</w:t>
            </w:r>
          </w:p>
        </w:tc>
        <w:tc>
          <w:tcPr>
            <w:tcW w:type="dxa" w:w="1814"/>
          </w:tcPr>
          <w:p>
            <w:r>
              <w:rPr>
                <w:rFonts w:ascii="Times New Roman" w:hAnsi="Times New Roman"/>
                <w:sz w:val="20"/>
              </w:rPr>
              <w:t>Fehlendes Dokument</w:t>
            </w:r>
          </w:p>
        </w:tc>
        <w:tc>
          <w:tcPr>
            <w:tcW w:type="dxa" w:w="1814"/>
          </w:tcPr>
          <w:p>
            <w:r>
              <w:rPr>
                <w:rFonts w:ascii="Times New Roman" w:hAnsi="Times New Roman"/>
                <w:sz w:val="20"/>
              </w:rPr>
              <w:t>Vermutung: kein Arztbesuch</w:t>
            </w:r>
          </w:p>
        </w:tc>
      </w:tr>
    </w:tbl>
    <w:p/>
    <w:p>
      <w:pPr>
        <w:pStyle w:val="Heading2"/>
      </w:pPr>
      <w:r>
        <w:rPr>
          <w:rFonts w:ascii="Times New Roman" w:hAnsi="Times New Roman"/>
        </w:rPr>
        <w:t>3. Details zu ausgewählten Mängeln</w:t>
      </w:r>
    </w:p>
    <w:p>
      <w:pPr>
        <w:pStyle w:val="Heading3"/>
      </w:pPr>
      <w:r>
        <w:rPr>
          <w:rFonts w:ascii="Times New Roman" w:hAnsi="Times New Roman"/>
        </w:rPr>
        <w:t>D-03 — CTG-Bogen 5 (schwerste Lücke)</w:t>
      </w:r>
    </w:p>
    <w:p>
      <w:pPr>
        <w:jc w:val="left"/>
      </w:pPr>
      <w:r>
        <w:t>Dies ist die gravierendste Dokumentationslücke. Der Bogen würde den Zeitraum 03:05–03:47 Uhr abdecken — genau die 42 Minuten, in denen aus klinischer Sicht die Entscheidung zur Notsectio gefallen sein muss und die fetale Bradykardie eingesetzt hat. Kein Bogen bedeutet nach § 630h Abs. 3 BGB, dass für diesen Zeitraum keinerlei ärztliche Reaktion auf das CTG dokumentiert ist.</w:t>
      </w:r>
    </w:p>
    <w:p>
      <w:pPr>
        <w:jc w:val="left"/>
      </w:pPr>
      <w:r>
        <w:t>Die Klinik hat behauptet, die Akte sei vollständig übersandt worden (AS 09). Diese Behauptung ist substantiiert zu bestreiten. Eine Erklärung für den fehlenden Bogen wurde nicht geliefert. Im Zivilprozess ist dieser Punkt als Beweislastthema aufzubereiten:</w:t>
      </w:r>
    </w:p>
    <w:p>
      <w:pPr>
        <w:ind w:left="567"/>
      </w:pPr>
      <w:r>
        <w:rPr>
          <w:i/>
        </w:rPr>
        <w:t>BGH 24.10.2017, VI ZR 99/16 (zur Dokumentationspflicht im ärztlichen Bereich): Der Behandelnde muss im Rechtsstreit darlegen und beweisen, dass er seine Dokumentationspflichten erfüllt hat; nicht der Patient.</w:t>
      </w:r>
    </w:p>
    <w:p>
      <w:pPr>
        <w:pStyle w:val="Heading3"/>
      </w:pPr>
      <w:r>
        <w:rPr>
          <w:rFonts w:ascii="Times New Roman" w:hAnsi="Times New Roman"/>
        </w:rPr>
        <w:t>D-07 — pH-Eintrag 02:30 Uhr</w:t>
      </w:r>
    </w:p>
    <w:p>
      <w:pPr>
        <w:jc w:val="left"/>
      </w:pPr>
      <w:r>
        <w:t>Der handschriftliche Eintrag „pH 7,28 — im Normbereich" von Dr. Voth um 02:30 Uhr ist in keinem Labor-Protokoll belegt. Auf Anfrage an die Klinik (AS 09) wurde kein Labor-EDV-Ausdruck übermittelt. Der MD-Auskunft des Schlichtungsverfahrens zufolge ist auch dort kein Laborwert für diesen Zeitpunkt auffindbar.</w:t>
      </w:r>
    </w:p>
    <w:p>
      <w:pPr>
        <w:jc w:val="left"/>
      </w:pPr>
      <w:r>
        <w:t>Zulässige Schlussfolgerung: Entweder wurde keine MBU durchgeführt und der Eintrag wurde ohne tatsächliche Messung erzeugt oder fehlerhaft übernommen, oder die Messung wurde nicht korrekt im Labor verarbeitet. Beides geht zu Lasten der Klinik.</w:t>
      </w:r>
    </w:p>
    <w:p>
      <w:pPr>
        <w:pStyle w:val="Heading3"/>
      </w:pPr>
      <w:r>
        <w:rPr>
          <w:rFonts w:ascii="Times New Roman" w:hAnsi="Times New Roman"/>
        </w:rPr>
        <w:t>D-05 — Übergabeprotokoll</w:t>
      </w:r>
    </w:p>
    <w:p>
      <w:pPr>
        <w:jc w:val="left"/>
      </w:pPr>
      <w:r>
        <w:t>Die Übergabedokumentation zwischen Sander und Pfletschinger enthält:</w:t>
      </w:r>
    </w:p>
    <w:p>
      <w:pPr>
        <w:pStyle w:val="ListBullet"/>
      </w:pPr>
      <w:r>
        <w:t>Datum und Uhrzeit: ✓</w:t>
      </w:r>
    </w:p>
    <w:p>
      <w:pPr>
        <w:pStyle w:val="ListBullet"/>
      </w:pPr>
      <w:r>
        <w:t>Muttermund-Stand: ✓</w:t>
      </w:r>
    </w:p>
    <w:p>
      <w:pPr>
        <w:pStyle w:val="ListBullet"/>
      </w:pPr>
      <w:r>
        <w:t>Wehentätigkeit: ✓</w:t>
      </w:r>
    </w:p>
    <w:p>
      <w:pPr>
        <w:pStyle w:val="ListBullet"/>
      </w:pPr>
      <w:r>
        <w:t>CTG-Status: ✗</w:t>
      </w:r>
    </w:p>
    <w:p>
      <w:pPr>
        <w:pStyle w:val="ListBullet"/>
      </w:pPr>
      <w:r>
        <w:t>Dezelerationsmuster: ✗</w:t>
      </w:r>
    </w:p>
    <w:p>
      <w:pPr>
        <w:pStyle w:val="ListBullet"/>
      </w:pPr>
      <w:r>
        <w:t>Letzte ärztliche Information: ✗</w:t>
      </w:r>
    </w:p>
    <w:p>
      <w:pPr>
        <w:pStyle w:val="ListBullet"/>
      </w:pPr>
      <w:r>
        <w:t>Maßnahmenpläne: ✗</w:t>
      </w:r>
    </w:p>
    <w:p>
      <w:pPr>
        <w:jc w:val="left"/>
      </w:pPr>
      <w:r>
        <w:t>Die fehlenden Einträge begründen nach § 630h Abs. 3 BGB die Vermutung, dass Pfletschinger nicht über das pathologische CTG informiert wurde — ungeachtet der abweichenden Aussage von Sander, sie habe es mündlich erwähnt. Eine mündliche Mitteilung ohne schriftliche Bestätigung genügt dem Dokumentationsstandard bei Risikosituationen nicht.</w:t>
      </w:r>
    </w:p>
    <w:p/>
    <w:p>
      <w:pPr>
        <w:pStyle w:val="Heading2"/>
      </w:pPr>
      <w:r>
        <w:rPr>
          <w:rFonts w:ascii="Times New Roman" w:hAnsi="Times New Roman"/>
        </w:rPr>
        <w:t>4. Anforderung der Vorlage (Vollständige Edition)</w:t>
      </w:r>
    </w:p>
    <w:p>
      <w:pPr>
        <w:jc w:val="left"/>
      </w:pPr>
      <w:r>
        <w:t>Mit Schriftsatz der Klageschrift wird beantragt, der Beklagten zu 1) aufzugeben, sämtliche folgenden Unterlagen vorzulegen (§ 142 ZPO):</w:t>
      </w:r>
    </w:p>
    <w:p>
      <w:pPr>
        <w:pStyle w:val="ListNumber"/>
      </w:pPr>
      <w:r>
        <w:t>CTG-Originalstreifen (physisch oder digitale Rohdatendatei) für den gesamten Zeitraum 17./18. Juli 2024, 21:51 bis 03:54 Uhr</w:t>
      </w:r>
    </w:p>
    <w:p>
      <w:pPr>
        <w:pStyle w:val="ListNumber"/>
      </w:pPr>
      <w:r>
        <w:t>Labor-EDV-Protokoll des 17./18. Juli 2024, vollständig</w:t>
      </w:r>
    </w:p>
    <w:p>
      <w:pPr>
        <w:pStyle w:val="ListNumber"/>
      </w:pPr>
      <w:r>
        <w:t>Narkoseprotokoll der Sectio vom 18.07.2024</w:t>
      </w:r>
    </w:p>
    <w:p>
      <w:pPr>
        <w:pStyle w:val="ListNumber"/>
      </w:pPr>
      <w:r>
        <w:t>Partogramm-Original (lesbare Qualität)</w:t>
      </w:r>
    </w:p>
    <w:p>
      <w:pPr>
        <w:pStyle w:val="ListNumber"/>
      </w:pPr>
      <w:r>
        <w:t>Schichtdienstplan für den 17./18. Juli 2024 (ungeschwärzt hinsichtlich der im Kreißsaal eingesetzten Personen)</w:t>
      </w:r>
    </w:p>
    <w:p>
      <w:pPr>
        <w:pStyle w:val="ListNumber"/>
      </w:pPr>
      <w:r>
        <w:t>Interne Qualitätssicherungsunterlagen der Klinik für den vorliegenden Fall (soweit vorhanden, Meldung gemäß KRITIS oder internes Risikomanagement)</w:t>
      </w:r>
    </w:p>
    <w:p>
      <w:pPr>
        <w:jc w:val="left"/>
      </w:pPr>
      <w:r>
        <w:t>Sollte die Klinik die Vorlage des CTG-Bogens 5 oder der Labor-EDV-Daten verweigern oder erklären, dass diese Unterlagen nicht mehr existieren, wird ein Antrag auf Sachverständigenuntersuchung der IT-Systeme der Klinik (§ 144 ZPO) in Betracht gezogen.</w:t>
      </w:r>
    </w:p>
    <w:p/>
    <w:p>
      <w:pPr>
        <w:pStyle w:val="Heading2"/>
      </w:pPr>
      <w:r>
        <w:rPr>
          <w:rFonts w:ascii="Times New Roman" w:hAnsi="Times New Roman"/>
        </w:rPr>
        <w:t>5. § 630h Abs. 3 BGB — Rechtliche Schlussfolgerung</w:t>
      </w:r>
    </w:p>
    <w:p>
      <w:pPr>
        <w:jc w:val="left"/>
      </w:pPr>
      <w:r>
        <w:t>Für das Gericht lässt sich ein strukturiertes Bild der Beweislastverschiebungen wie folgt zusammenfassen:</w:t>
      </w:r>
    </w:p>
    <w:p>
      <w:pPr>
        <w:jc w:val="left"/>
      </w:pPr>
      <w:r>
        <w:t>Die Klinik muss beweisen, dass:</w:t>
      </w:r>
    </w:p>
    <w:p>
      <w:pPr>
        <w:pStyle w:val="ListBullet"/>
      </w:pPr>
      <w:r>
        <w:t>eine MBU durchgeführt wurde oder ihre Unterlassung durch eine ärztliche Entscheidung mit hinreichender Grundlage gerechtfertigt war;</w:t>
      </w:r>
    </w:p>
    <w:p>
      <w:pPr>
        <w:pStyle w:val="ListBullet"/>
      </w:pPr>
      <w:r>
        <w:t>eine Übergabe stattfand, die das pathologische CTG einschloss;</w:t>
      </w:r>
    </w:p>
    <w:p>
      <w:pPr>
        <w:pStyle w:val="ListBullet"/>
      </w:pPr>
      <w:r>
        <w:t>der Eintrag pH 7,28 auf einer tatsächlich durchgeführten Blutgasanalyse beruht;</w:t>
      </w:r>
    </w:p>
    <w:p>
      <w:pPr>
        <w:pStyle w:val="ListBullet"/>
      </w:pPr>
      <w:r>
        <w:t>der fehlende CTG-Bogen 5 keinen Informationsgehalt hatte, der für die Klage relevant wäre;</w:t>
      </w:r>
    </w:p>
    <w:p>
      <w:pPr>
        <w:pStyle w:val="ListBullet"/>
      </w:pPr>
      <w:r>
        <w:t>ein Aufklärungsgespräch stattgefunden hat oder die Notfallsituation ein solches entbehrlich machte.</w:t>
      </w:r>
    </w:p>
    <w:p>
      <w:pPr>
        <w:jc w:val="left"/>
      </w:pPr>
      <w:r>
        <w:t>All diese Beweise wird die Klinik nur durch Zeugenaussagen führen können — und dort stehen sich die widersprüchlichen Aussagen von Sander und Pfletschinger gegenüber. Das Gericht wird die Glaubwürdigkeit der Zeugen beurteilen müssen; die Klinik hat keine objektiven Belege.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