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Dual-Use-Prüfung: CNC-Steuermodul GX-900 – Vollständige Analyse</w:t>
      </w:r>
    </w:p>
    <w:p>
      <w:pPr>
        <w:jc w:val="left"/>
      </w:pPr>
      <w:r>
        <w:rPr>
          <w:b/>
        </w:rPr>
        <w:t>Dokumenttyp:</w:t>
      </w:r>
      <w:r>
        <w:t xml:space="preserve"> Exportkontroll-Prüfbericht (Internes Vermerk)</w:t>
      </w:r>
    </w:p>
    <w:p>
      <w:pPr>
        <w:jc w:val="left"/>
      </w:pPr>
      <w:r>
        <w:rPr>
          <w:b/>
        </w:rPr>
        <w:t>Aktenzeichen:</w:t>
      </w:r>
      <w:r>
        <w:t xml:space="preserve"> GM-EK-2026-041-DU</w:t>
      </w:r>
    </w:p>
    <w:p>
      <w:pPr>
        <w:jc w:val="left"/>
      </w:pPr>
      <w:r>
        <w:rPr>
          <w:b/>
        </w:rPr>
        <w:t>Erstellt:</w:t>
      </w:r>
      <w:r>
        <w:t xml:space="preserve"> 15. April 2026</w:t>
      </w:r>
    </w:p>
    <w:p>
      <w:pPr>
        <w:jc w:val="left"/>
      </w:pPr>
      <w:r>
        <w:rPr>
          <w:b/>
        </w:rPr>
        <w:t>Verfasser:</w:t>
      </w:r>
      <w:r>
        <w:t xml:space="preserve"> Dipl.-Ing. Rainer Hofstädter, Exportkontrollbeauftragter</w:t>
      </w:r>
    </w:p>
    <w:p>
      <w:pPr>
        <w:jc w:val="left"/>
      </w:pPr>
      <w:r>
        <w:rPr>
          <w:b/>
        </w:rPr>
        <w:t>Geprüft:</w:t>
      </w:r>
      <w:r>
        <w:t xml:space="preserve"> Dr. Sabine Brennecke, Syndikusrechtsanwältin</w:t>
      </w:r>
    </w:p>
    <w:p>
      <w:pPr>
        <w:jc w:val="left"/>
      </w:pPr>
      <w:r>
        <w:rPr>
          <w:b/>
        </w:rPr>
        <w:t>Status:</w:t>
      </w:r>
      <w:r>
        <w:t xml:space="preserve"> Abgeschlossen – Genehmigungsbedürftigkeit festgestellt</w:t>
      </w:r>
    </w:p>
    <w:p/>
    <w:p>
      <w:pPr>
        <w:pStyle w:val="Heading2"/>
      </w:pPr>
      <w:r>
        <w:rPr>
          <w:rFonts w:ascii="Times New Roman" w:hAnsi="Times New Roman"/>
        </w:rPr>
        <w:t>1. Prüfungsanlass und Sachverhalt</w:t>
      </w:r>
    </w:p>
    <w:p>
      <w:pPr>
        <w:jc w:val="left"/>
      </w:pPr>
      <w:r>
        <w:t>Die Globalmaschinen GmbH beabsichtigt, das CNC-Steuermodul GX-900 (Artikelnummer 8000-GX900-EU) an die Turan Industrial Trading Ltd., Istanbul/Türkei, zu liefern. Der türkische Händler hat schriftlich erklärt, die Ware an einen Endkunden in Kasachstan weiterzuverkaufen. Die endgültige Endverwendung ist mit "zivile Maschinenwartung" angegeben. Aufgrund der technischen Spezifikationen (9-Achsen-Interpolation, Positioniergenauigkeit ≤ 1 μm), der Drittstaatenweiterleitung sowie laufender BAFA-Anfragen hat die Exportkontrollabteilung eine vollständige Dual-Use-Prüfung initiiert.</w:t>
      </w:r>
    </w:p>
    <w:p>
      <w:pPr>
        <w:jc w:val="left"/>
      </w:pPr>
      <w:r>
        <w:t xml:space="preserve">Rechtliche Grundlage: </w:t>
      </w:r>
      <w:r>
        <w:rPr>
          <w:b/>
        </w:rPr>
        <w:t>Verordnung (EU) 2021/821</w:t>
      </w:r>
      <w:r>
        <w:t xml:space="preserve"> (Neufassung Dual-Use-Verordnung), in Kraft getreten 09.09.2021, sowie das </w:t>
      </w:r>
      <w:r>
        <w:rPr>
          <w:b/>
        </w:rPr>
        <w:t>Außenwirtschaftsgesetz (AWG)</w:t>
      </w:r>
      <w:r>
        <w:t xml:space="preserve"> und die </w:t>
      </w:r>
      <w:r>
        <w:rPr>
          <w:b/>
        </w:rPr>
        <w:t>Außenwirtschaftsverordnung (AWV)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2. Güterlistenprüfung nach Anhang I EU 2021/821</w:t>
      </w:r>
    </w:p>
    <w:p>
      <w:pPr>
        <w:pStyle w:val="Heading3"/>
      </w:pPr>
      <w:r>
        <w:rPr>
          <w:rFonts w:ascii="Times New Roman" w:hAnsi="Times New Roman"/>
        </w:rPr>
        <w:t>2.1 Kategorie 2 – Materialbearbeitung</w:t>
      </w:r>
    </w:p>
    <w:p>
      <w:pPr>
        <w:pStyle w:val="Heading3"/>
      </w:pPr>
      <w:r>
        <w:rPr>
          <w:rFonts w:ascii="Times New Roman" w:hAnsi="Times New Roman"/>
        </w:rPr>
        <w:t>Position 2B001 – Werkzeugmaschinen und numerische Steuerungen</w:t>
      </w:r>
    </w:p>
    <w:p>
      <w:pPr>
        <w:jc w:val="left"/>
      </w:pPr>
      <w:r>
        <w:rPr>
          <w:b/>
        </w:rPr>
        <w:t>Wortlaut (auszugsweise):</w:t>
      </w:r>
    </w:p>
    <w:p>
      <w:pPr>
        <w:ind w:left="567"/>
      </w:pPr>
      <w:r>
        <w:rPr>
          <w:i/>
        </w:rPr>
        <w:t>"2B001.b Numerische Steuerungen für Werkzeugmaschinen, die zur Steuerung von 2 oder mehr simultanen, interpolierend gesteuerten Achsen ausgelegt sind, die in eine Werkzeugmaschine integriert werden können, mit einer Linearpositioniergenauigkeit von weniger als 6 μm..."</w:t>
      </w:r>
    </w:p>
    <w:p>
      <w:pPr>
        <w:jc w:val="left"/>
      </w:pPr>
      <w:r>
        <w:rPr>
          <w:b/>
        </w:rPr>
        <w:t>Merkmalsvergleich: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Schwellenwert (2B001)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GX-900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Erfüllt?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Simultane interpolierende Achsen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≥ 2 (Basistatbestand) / &gt; 5 (erhöhte Kontrolle)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 Achsen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Positioniergenauigkeit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&lt; 6 μm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≤ 1 μm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Integration in Werkzeugmaschine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(bestimmungsgemäß)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Ausnahme (Special Industrial Equipment)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entfällt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rPr>
          <w:b/>
        </w:rPr>
        <w:t>Ergebnis 2B001:</w:t>
      </w:r>
      <w:r>
        <w:t xml:space="preserve"> Das GX-900 unterfällt </w:t>
      </w:r>
      <w:r>
        <w:rPr>
          <w:b/>
        </w:rPr>
        <w:t>2B001.b</w:t>
      </w:r>
      <w:r>
        <w:t xml:space="preserve"> der EU-Dual-Use-Güterliste. Es handelt sich um ein listenpflichtiges Gut.</w:t>
      </w:r>
    </w:p>
    <w:p>
      <w:pPr>
        <w:pStyle w:val="Heading3"/>
      </w:pPr>
      <w:r>
        <w:rPr>
          <w:rFonts w:ascii="Times New Roman" w:hAnsi="Times New Roman"/>
        </w:rPr>
        <w:t>Position 2D001 – Softwarebezug</w:t>
      </w:r>
    </w:p>
    <w:p>
      <w:pPr>
        <w:jc w:val="left"/>
      </w:pPr>
      <w:r>
        <w:t>Software zur Entwicklung oder Produktion von Waren nach 2B001 – hier nicht einschlägig, da kein Softwareexport geplant, sondern Hardwareexport mit integrierter Betriebssoftware (mitgelieferte Firmware gilt als Bestandteil der Ware).</w:t>
      </w:r>
    </w:p>
    <w:p>
      <w:pPr>
        <w:pStyle w:val="Heading3"/>
      </w:pPr>
      <w:r>
        <w:rPr>
          <w:rFonts w:ascii="Times New Roman" w:hAnsi="Times New Roman"/>
        </w:rPr>
        <w:t>Position 2E001 – Technologiebezug</w:t>
      </w:r>
    </w:p>
    <w:p>
      <w:pPr>
        <w:jc w:val="left"/>
      </w:pPr>
      <w:r>
        <w:t>Technologie für die Entwicklung oder Herstellung von Waren nach 2B001 – nicht einschlägig, kein Technologietransfer geplant.</w:t>
      </w:r>
    </w:p>
    <w:p/>
    <w:p>
      <w:pPr>
        <w:pStyle w:val="Heading3"/>
      </w:pPr>
      <w:r>
        <w:rPr>
          <w:rFonts w:ascii="Times New Roman" w:hAnsi="Times New Roman"/>
        </w:rPr>
        <w:t>2.2 Kategorie 5 Teil 2 – Informationssicherheit (Kryptographie)</w:t>
      </w:r>
    </w:p>
    <w:p>
      <w:pPr>
        <w:jc w:val="left"/>
      </w:pPr>
      <w:r>
        <w:t>Das GX-900 enthält einen Hardware Security Module (HSM) Atmel ATECC608A mit AES-256, ECC-384 und SHA-384.</w:t>
      </w:r>
    </w:p>
    <w:p>
      <w:pPr>
        <w:jc w:val="left"/>
      </w:pPr>
      <w:r>
        <w:rPr>
          <w:b/>
        </w:rPr>
        <w:t>Position 5A002.a:</w:t>
      </w:r>
      <w:r>
        <w:t xml:space="preserve"> Systeme und Ausrüstungen zur "Sicherung von Informationen" mittels kryptographischer Methoden.</w:t>
      </w:r>
    </w:p>
    <w:p>
      <w:pPr>
        <w:jc w:val="left"/>
      </w:pPr>
      <w:r>
        <w:rPr>
          <w:b/>
        </w:rPr>
        <w:t>Cryptography Note (CN, Anmerkung 3 zu Kategorie 5 Teil 2):</w:t>
      </w:r>
    </w:p>
    <w:p>
      <w:pPr>
        <w:jc w:val="left"/>
      </w:pPr>
      <w:r>
        <w:t>Die CN nimmt Waren aus dem Kontrollbereich heraus, die folgende Bedingungen erfüllen:</w:t>
      </w:r>
    </w:p>
    <w:p>
      <w:pPr>
        <w:pStyle w:val="ListNumber"/>
      </w:pPr>
      <w:r>
        <w:t>allgemein verfügbar (im Handel erhältlich, massenmarktfähig)</w:t>
      </w:r>
    </w:p>
    <w:p>
      <w:pPr>
        <w:pStyle w:val="ListNumber"/>
      </w:pPr>
      <w:r>
        <w:t>kryptographische Funktionalität kann vom Nutzer nicht einfach verändert werden</w:t>
      </w:r>
    </w:p>
    <w:p>
      <w:pPr>
        <w:pStyle w:val="ListNumber"/>
      </w:pPr>
      <w:r>
        <w:t>entwickelt für einen spezifischen, nicht-sicherheitskritischen Anwendungsfall</w:t>
      </w:r>
    </w:p>
    <w:p>
      <w:pPr>
        <w:jc w:val="left"/>
      </w:pPr>
      <w:r>
        <w:rPr>
          <w:b/>
        </w:rPr>
        <w:t>Prüfung CN für GX-900-HSM:</w:t>
      </w:r>
    </w:p>
    <w:p>
      <w:pPr>
        <w:pStyle w:val="ListBullet"/>
      </w:pPr>
      <w:r>
        <w:t>Der HSM ist im GX-900 fest verdrahtet, nicht nach außen zugänglich und dient ausschließlich der Firmware-Integritätsprüfung und Gerätezertifizierung.</w:t>
      </w:r>
    </w:p>
    <w:p>
      <w:pPr>
        <w:pStyle w:val="ListBullet"/>
      </w:pPr>
      <w:r>
        <w:t>Eine selektive kryptographische Kontrolle durch den Nutzer ist technisch nicht möglich.</w:t>
      </w:r>
    </w:p>
    <w:p>
      <w:pPr>
        <w:pStyle w:val="ListBullet"/>
      </w:pPr>
      <w:r>
        <w:t>Die Ware richtet sich an kommerzielle CNC-Anwendungen; eine Dual-Use-Hauptfunktion Kryptographie besteht nicht.</w:t>
      </w:r>
    </w:p>
    <w:p>
      <w:pPr>
        <w:jc w:val="left"/>
      </w:pPr>
      <w:r>
        <w:rPr>
          <w:b/>
        </w:rPr>
        <w:t>Ergebnis 5A002:</w:t>
      </w:r>
      <w:r>
        <w:t xml:space="preserve"> CN greift. Keine Listenpflicht nach Kategorie 5 Teil 2.</w:t>
      </w:r>
    </w:p>
    <w:p/>
    <w:p>
      <w:pPr>
        <w:pStyle w:val="Heading3"/>
      </w:pPr>
      <w:r>
        <w:rPr>
          <w:rFonts w:ascii="Times New Roman" w:hAnsi="Times New Roman"/>
        </w:rPr>
        <w:t>2.3 Sonstige Kategorien (Schnellprüfung)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 für Prüfung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3A001 (Elektronik)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Prozessorkern US-Ursprung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Treffer: Cortex-A72 unter 3A991 (EAR) / kein EU-Listeneintrag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(Sensoren/Laser)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Encoder-Schnittstelle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Treffer: Standardauflösung, keine ITAR-Optik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(Luft-/Raumfahrt)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Achssteuerung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Treffer: kein Inertialnavigationsbezug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ECCN-Vergleich nach US-EAR (15 CFR Part 774, CCL)</w:t>
      </w:r>
    </w:p>
    <w:p>
      <w:pPr>
        <w:jc w:val="left"/>
      </w:pPr>
      <w:r>
        <w:t>Da der Prozessorkern (ARM Cortex-A72, IP-Herkunft USA) US-Exportkontrolle berührt, ist eine parallele ECCN-Einordnung erforderlich.</w:t>
      </w:r>
    </w:p>
    <w:p>
      <w:pPr>
        <w:pStyle w:val="Heading3"/>
      </w:pPr>
      <w:r>
        <w:rPr>
          <w:rFonts w:ascii="Times New Roman" w:hAnsi="Times New Roman"/>
        </w:rPr>
        <w:t>3.1 Warenklassifizierung unter CCL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ECCN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Anwendung auf GX-900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2B001</w:t>
            </w:r>
            <w:r>
              <w:rPr>
                <w:rFonts w:ascii="Times New Roman" w:hAnsi="Times New Roman"/>
                <w:sz w:val="20"/>
              </w:rPr>
              <w:t xml:space="preserve"> (CCL)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NC-Steuerungen für Werkzeugmaschinen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Übereinstimmende Tatbestandsmerkmale mit EU-Liste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Treffer wahrscheinlich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3A991.a.2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Prozessoren (nicht unter 3A001), US-Ursprung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ARM Cortex-A72 als Commodity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Treffer für Komponente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5A992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Kryptographiefähige Ausrüstungen (Massenmarkt)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HSM nach CN-Prüfung (EAR: License Exception ENC)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Freigestellt / ENC gilt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EAR99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auf CCL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Ausschluss für Gesamtgerät: nicht möglich wegen 2B001-Treffer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De-minimis-Berechnung (§ 734.4 EAR)</w:t>
      </w:r>
    </w:p>
    <w:p>
      <w:pPr>
        <w:jc w:val="left"/>
      </w:pPr>
      <w:r>
        <w:t xml:space="preserve">Für Produkte nicht-amerikanischer Hersteller (Foreign-Made Items) gilt die EAR nicht, wenn der US-Wertanteil (controlled US-origin content) unter </w:t>
      </w:r>
      <w:r>
        <w:rPr>
          <w:b/>
        </w:rPr>
        <w:t>25 %</w:t>
      </w:r>
      <w:r>
        <w:t xml:space="preserve"> des Gesamtwarenwerts liegt (Nicht-E:1-Länder, Nicht-Gruppen-D:1-Länder). Für Kasachstan (kein E:1-Land, nicht Gruppe D:5) gilt die 25-%-Schwelle.</w:t>
      </w:r>
    </w:p>
    <w:p>
      <w:pPr>
        <w:jc w:val="left"/>
      </w:pPr>
      <w:r>
        <w:rPr>
          <w:b/>
        </w:rPr>
        <w:t>Schätzung US-Wertanteil: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Komponente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Schätzwert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US-kontrolliert?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ARM Cortex-A72 SoC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85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(3A991)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HSM ATECC608A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4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(5A992/ENC)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Elektronik (EU/Asien)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620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Gehäuse, Mechanik (DE)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180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889 EUR</w:t>
            </w:r>
          </w:p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US-Anteil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89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10 %</w:t>
            </w:r>
          </w:p>
        </w:tc>
      </w:tr>
    </w:tbl>
    <w:p>
      <w:pPr>
        <w:jc w:val="left"/>
      </w:pPr>
      <w:r>
        <w:rPr>
          <w:b/>
        </w:rPr>
        <w:t>Ergebnis De-minimis:</w:t>
      </w:r>
      <w:r>
        <w:t xml:space="preserve"> US-Anteil vorläufig unter 25 % – De-minimis-Ausnahme könnte greifen. Endgültige Kalkulation mit Einkaufspreisen ist durchzuführen und zu dokumentieren.</w:t>
      </w:r>
    </w:p>
    <w:p>
      <w:pPr>
        <w:pStyle w:val="Heading3"/>
      </w:pPr>
      <w:r>
        <w:rPr>
          <w:rFonts w:ascii="Times New Roman" w:hAnsi="Times New Roman"/>
        </w:rPr>
        <w:t>3.3 Foreign Direct Product Rule (FDPR, § 736.2(b)(3) EAR)</w:t>
      </w:r>
    </w:p>
    <w:p>
      <w:pPr>
        <w:jc w:val="left"/>
      </w:pPr>
      <w:r>
        <w:t>Die FDPR kann auch bei geringem US-Wertanteil gelten, wenn die Ware durch bestimmte US-Technologie/Software hergestellt wurde. Die erweiterte FDPR-Regel (seit 2022) erfasst insbesondere Exporte nach Russland und Belarus. Für Kasachstan als Endbestimmungsland gilt die Standard-FDPR; da der Chip nicht nach 3A001 listenpflichtig ist, greift die FDPR nicht eigenständig.</w:t>
      </w:r>
    </w:p>
    <w:p/>
    <w:p>
      <w:pPr>
        <w:pStyle w:val="Heading2"/>
      </w:pPr>
      <w:r>
        <w:rPr>
          <w:rFonts w:ascii="Times New Roman" w:hAnsi="Times New Roman"/>
        </w:rPr>
        <w:t>4. Catch-All-Prüfung (Art. 4 EU 2021/821)</w:t>
      </w:r>
    </w:p>
    <w:p>
      <w:pPr>
        <w:jc w:val="left"/>
      </w:pPr>
      <w:r>
        <w:t>Unabhängig von der Listenpflicht ist zu prüfen, ob die Ware für eine militärische Endverwendung, WMD-Entwicklung oder für verbotene Endverwender bestimmt ist.</w:t>
      </w:r>
    </w:p>
    <w:p>
      <w:pPr>
        <w:pStyle w:val="Heading3"/>
      </w:pPr>
      <w:r>
        <w:rPr>
          <w:rFonts w:ascii="Times New Roman" w:hAnsi="Times New Roman"/>
        </w:rPr>
        <w:t>4.1 Bekannte Risikoindikatoren (Red Flags)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Indikator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Routing über Drittland (TR → KZ)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Dokumentiert (E-Mail Mandant)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Erhöhtes 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Zahlung über VAE-Entität (Al Noor FZE)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Dokumentiert (AWV-Liste)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Erhöhtes 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Endkunde in Kasachstan unklar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EUC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Erhöhtes 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Interne Nachricht "dann halt über Kasachstan"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Dokumentiert (Chat-Protokoll)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Sehr hohes 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Lizenzwert 125.000 EUR (Vorauszahlung KZ)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vergleichbarer Zivil-Auftrag bekannt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Auffällig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4.2 Rechtliche Konsequenz</w:t>
      </w:r>
    </w:p>
    <w:p>
      <w:pPr>
        <w:jc w:val="left"/>
      </w:pPr>
      <w:r>
        <w:t>Gemäß Art. 4 Abs. 1 EU 2021/821 darf ein Ausführer keine dual-use-fähigen Waren (auch nicht-gelistete) ausführen, wenn er weiß oder Grund zu der Annahme hat, dass die Ware für militärische Endverwendung bestimmt ist. Gemäß Art. 4 Abs. 2 darf er bei Hinweisen auf Umgehung sanktionierter Länder (hier: RU/BY) nicht ohne Genehmigung ausführen.</w:t>
      </w:r>
    </w:p>
    <w:p>
      <w:pPr>
        <w:jc w:val="left"/>
      </w:pPr>
      <w:r>
        <w:rPr>
          <w:b/>
        </w:rPr>
        <w:t>Schlussfolgerung:</w:t>
      </w:r>
      <w:r>
        <w:t xml:space="preserve"> Die vorliegenden Red Flags begründen eine Catch-All-Pflicht, auch wenn die Endbestimmung formal Kasachstan ist. Die Genehmigungspflicht besteht </w:t>
      </w:r>
      <w:r>
        <w:rPr>
          <w:b/>
        </w:rPr>
        <w:t>kumulativ</w:t>
      </w:r>
      <w:r>
        <w:t>:</w:t>
      </w:r>
    </w:p>
    <w:p>
      <w:pPr>
        <w:pStyle w:val="ListBullet"/>
      </w:pPr>
      <w:r>
        <w:t>Listenpflicht nach 2B001 (Ware)</w:t>
      </w:r>
    </w:p>
    <w:p>
      <w:pPr>
        <w:pStyle w:val="ListBullet"/>
      </w:pPr>
      <w:r>
        <w:t>Catch-All nach Art. 4 Abs. 2 (Umgehungsverdacht)</w:t>
      </w:r>
    </w:p>
    <w:p/>
    <w:p>
      <w:pPr>
        <w:pStyle w:val="Heading2"/>
      </w:pPr>
      <w:r>
        <w:rPr>
          <w:rFonts w:ascii="Times New Roman" w:hAnsi="Times New Roman"/>
        </w:rPr>
        <w:t>5. Genehmigungserfordernisse und zuständige Behörde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Genehmigungsart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 AWG i.V.m. Teil I Abschnitt C AWV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Ausfuhrgenehmigung für Dual-Use-Güter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BAFA, Eschborn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3 EU 2021/821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EU-Ausfuhrgenehmigung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BAFA als nationale Bewilligungsbehörde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12g VO (EU) 833/2014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No-Re-Export-Klausel RU/BY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Vertragspflicht (keine Behördengenehmigung)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5.1 BAFA-Antrag</w:t>
      </w:r>
    </w:p>
    <w:p>
      <w:pPr>
        <w:jc w:val="left"/>
      </w:pPr>
      <w:r>
        <w:t xml:space="preserve">Für den Export nach Kasachstan (Drittland, keine EU-Allgemeingenehmigung anwendbar) ist eine </w:t>
      </w:r>
      <w:r>
        <w:rPr>
          <w:b/>
        </w:rPr>
        <w:t>Einzelgenehmigung</w:t>
      </w:r>
      <w:r>
        <w:t xml:space="preserve"> zu beantragen. Zuständig: Bundesamt für Wirtschaft und Ausfuhrkontrolle (BAFA), Referat 411 (Industriegüter), Frankfurter Str. 29–35, 65760 Eschborn.</w:t>
      </w:r>
    </w:p>
    <w:p>
      <w:pPr>
        <w:jc w:val="left"/>
      </w:pPr>
      <w:r>
        <w:rPr>
          <w:b/>
        </w:rPr>
        <w:t>Antragsunterlagen:</w:t>
      </w:r>
    </w:p>
    <w:p>
      <w:pPr>
        <w:pStyle w:val="ListNumber"/>
      </w:pPr>
      <w:r>
        <w:t>Antrag auf Erteilung einer Ausfuhrgenehmigung (BAFA-Online-Portal ELAN-K2)</w:t>
      </w:r>
    </w:p>
    <w:p>
      <w:pPr>
        <w:pStyle w:val="ListNumber"/>
      </w:pPr>
      <w:r>
        <w:t>Technisches Datenblatt (vorl. Produkt-Datenblatt GX-900, Version 3.2)</w:t>
      </w:r>
    </w:p>
    <w:p>
      <w:pPr>
        <w:pStyle w:val="ListNumber"/>
      </w:pPr>
      <w:r>
        <w:t>Endverwendungserklärung (End-User Certificate – EUC) des kasachischen Endkunden</w:t>
      </w:r>
    </w:p>
    <w:p>
      <w:pPr>
        <w:pStyle w:val="ListNumber"/>
      </w:pPr>
      <w:r>
        <w:t>Handelsrechnung / Kaufvertrag Globalmaschinen–Turan Industrial Trading</w:t>
      </w:r>
    </w:p>
    <w:p>
      <w:pPr>
        <w:pStyle w:val="ListNumber"/>
      </w:pPr>
      <w:r>
        <w:t>Ggf. Erklärung zum US-Komponenten-Anteil (De-minimis)</w:t>
      </w:r>
    </w:p>
    <w:p>
      <w:pPr>
        <w:jc w:val="left"/>
      </w:pPr>
      <w:r>
        <w:rPr>
          <w:b/>
        </w:rPr>
        <w:t>Bearbeitungszeit:</w:t>
      </w:r>
      <w:r>
        <w:t xml:space="preserve"> Erfahrungsgemäß 4–12 Wochen für Industriegüter mit mittlerem Risikoprofil; aufgrund des vorliegenden Red-Flag-Musters ist mit intensivierter Prüfung und ggf. Rückfragen zu rechnen.</w:t>
      </w:r>
    </w:p>
    <w:p/>
    <w:p>
      <w:pPr>
        <w:pStyle w:val="Heading2"/>
      </w:pPr>
      <w:r>
        <w:rPr>
          <w:rFonts w:ascii="Times New Roman" w:hAnsi="Times New Roman"/>
        </w:rPr>
        <w:t>6. Empfehlungen und Handlungsplan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(sofort)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Lieferstopp bis Genehmigungserteilung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 / Exportkontrolle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(sofort)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Legal Hold für alle relevanten Kommunikation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Syndikusrechtsanwältin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EUC vom kasachischen Endkunden einholen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BAFA-Antrag stellen (ELAN-K2)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Exportkontrollabteilung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US-Lieferant: ECCN-Bestätigungsschreiben anfordern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07.05.2026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Einkauf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De-minimis-Kalkulation (Endversion)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Controlling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Vertragsklausel Art. 12g VO 833/2014 in Händlervertrag aufnehmen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Rechtsabteilung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Ergebnis</w:t>
      </w:r>
    </w:p>
    <w:p>
      <w:pPr>
        <w:jc w:val="left"/>
      </w:pPr>
      <w:r>
        <w:t xml:space="preserve">Das CNC-Steuermodul GX-900 ist nach der EU-Dual-Use-Verordnung (EU) 2021/821 unter </w:t>
      </w:r>
      <w:r>
        <w:rPr>
          <w:b/>
        </w:rPr>
        <w:t>Position 2B001.b</w:t>
      </w:r>
      <w:r>
        <w:t xml:space="preserve"> listenpflichtig. Ein Export nach Kasachstan bedarf einer Einzelgenehmigung des BAFA. Zusätzlich löst die dokumentierte Red-Flag-Konstellation (Drittstaatenrouting, unklarer Endkunde, interner Chat) eine Catch-All-Genehmigungspflicht nach Art. 4 EU 2021/821 aus. Ein Export ohne Genehmigung erfüllt den Tatbestand des § 17 AWG (Strafvorschrift) und kann zu Freiheitsstrafe bis zu 15 Jahren führen.</w:t>
      </w:r>
    </w:p>
    <w:p>
      <w:pPr>
        <w:jc w:val="left"/>
      </w:pPr>
      <w:r>
        <w:rPr>
          <w:b/>
        </w:rPr>
        <w:t>Das Technikteam hat die Dual-Use-Relevanz ursprünglich falsch eingeschätzt; die interne Güterklassifizierungsdokumentation ist unverzüglich nachzuholen.</w:t>
      </w:r>
    </w:p>
    <w:p/>
    <w:p>
      <w:pPr>
        <w:jc w:val="left"/>
      </w:pPr>
      <w:r>
        <w:rPr>
          <w:i/>
        </w:rPr>
        <w:t>Erstellt: 15.04.2026 | Rainer Hofstädter, Exportkontrollbeauftragter | GM-EK-2026-041-DU</w:t>
      </w:r>
    </w:p>
    <w:p>
      <w:pPr>
        <w:jc w:val="left"/>
      </w:pPr>
      <w:r>
        <w:rPr>
          <w:i/>
        </w:rPr>
        <w:t>Geprüft: 15.04.2026 | Dr. Sabine Brennecke, Syndikusrechtsanwältin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