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Sanktionslistenprüfung: Trefferdokumentation und Workflow</w:t>
      </w:r>
    </w:p>
    <w:p>
      <w:pPr>
        <w:jc w:val="left"/>
      </w:pPr>
      <w:r>
        <w:rPr>
          <w:b/>
        </w:rPr>
        <w:t>Dokumenttyp:</w:t>
      </w:r>
      <w:r>
        <w:t xml:space="preserve"> Sanktionsprüfbericht / Compliance-Vermerk</w:t>
      </w:r>
    </w:p>
    <w:p>
      <w:pPr>
        <w:jc w:val="left"/>
      </w:pPr>
      <w:r>
        <w:rPr>
          <w:b/>
        </w:rPr>
        <w:t>Aktenzeichen:</w:t>
      </w:r>
      <w:r>
        <w:t xml:space="preserve"> GM-SANKT-2026-017</w:t>
      </w:r>
    </w:p>
    <w:p>
      <w:pPr>
        <w:jc w:val="left"/>
      </w:pPr>
      <w:r>
        <w:rPr>
          <w:b/>
        </w:rPr>
        <w:t>Erstellt:</w:t>
      </w:r>
      <w:r>
        <w:t xml:space="preserve"> 10. April 2026</w:t>
      </w:r>
    </w:p>
    <w:p>
      <w:pPr>
        <w:jc w:val="left"/>
      </w:pPr>
      <w:r>
        <w:rPr>
          <w:b/>
        </w:rPr>
        <w:t>Verfasser:</w:t>
      </w:r>
      <w:r>
        <w:t xml:space="preserve"> Franziska Mehlhorn, Compliance-Analystin</w:t>
      </w:r>
    </w:p>
    <w:p>
      <w:pPr>
        <w:jc w:val="left"/>
      </w:pPr>
      <w:r>
        <w:rPr>
          <w:b/>
        </w:rPr>
        <w:t>Geprüft:</w:t>
      </w:r>
      <w:r>
        <w:t xml:space="preserve"> Dr. Sabine Brennecke, Syndikusrechtsanwältin</w:t>
      </w:r>
    </w:p>
    <w:p>
      <w:pPr>
        <w:jc w:val="left"/>
      </w:pPr>
      <w:r>
        <w:rPr>
          <w:b/>
        </w:rPr>
        <w:t>Status:</w:t>
      </w:r>
      <w:r>
        <w:t xml:space="preserve"> Trefferverdacht – Eskalation ausgelöst</w:t>
      </w:r>
    </w:p>
    <w:p/>
    <w:p>
      <w:pPr>
        <w:pStyle w:val="Heading2"/>
      </w:pPr>
      <w:r>
        <w:rPr>
          <w:rFonts w:ascii="Times New Roman" w:hAnsi="Times New Roman"/>
        </w:rPr>
        <w:t>1. Hintergrund und Prüfungsauftrag</w:t>
      </w:r>
    </w:p>
    <w:p>
      <w:pPr>
        <w:jc w:val="left"/>
      </w:pPr>
      <w:r>
        <w:t>Im Rahmen der internen Neukundenprozesse wurde für den Abschluss eines Liefervertrages mit der Turan Industrial Trading Ltd. (Istanbul) eine vollständige Sanktionslistenprüfung für alle beteiligten natürlichen und juristischen Personen durchgeführt. Der Prüfungsauftrag umfasste:</w:t>
      </w:r>
    </w:p>
    <w:p>
      <w:pPr>
        <w:pStyle w:val="ListNumber"/>
      </w:pPr>
      <w:r>
        <w:t>Den Händler Turan Industrial Trading Ltd. und deren Gesellschafter</w:t>
      </w:r>
    </w:p>
    <w:p>
      <w:pPr>
        <w:pStyle w:val="ListNumber"/>
      </w:pPr>
      <w:r>
        <w:t>Den wirtschaftlich Berechtigten (UBO) laut Selbstauskunft: Murat A. (Vollname nach Transparenzregister geprüft)</w:t>
      </w:r>
    </w:p>
    <w:p>
      <w:pPr>
        <w:pStyle w:val="ListNumber"/>
      </w:pPr>
      <w:r>
        <w:t>Die Zahlungspartei Al Noor FZE, Dubai/VAE</w:t>
      </w:r>
    </w:p>
    <w:p>
      <w:pPr>
        <w:pStyle w:val="ListNumber"/>
      </w:pPr>
      <w:r>
        <w:t>Den kasachischen Endkunden (Identität unklar, nur Firmensitz "Almaty" angegeben)</w:t>
      </w:r>
    </w:p>
    <w:p>
      <w:pPr>
        <w:jc w:val="left"/>
      </w:pPr>
      <w:r>
        <w:rPr>
          <w:b/>
        </w:rPr>
        <w:t>Rechtliche Grundlage der Prüfung:</w:t>
      </w:r>
    </w:p>
    <w:p>
      <w:pPr>
        <w:pStyle w:val="ListBullet"/>
      </w:pPr>
      <w:r>
        <w:t>Verordnung (EU) Nr. 269/2014 (Ukraine-Sanktionen, konsolidierte Russland-Sanktionsliste)</w:t>
      </w:r>
    </w:p>
    <w:p>
      <w:pPr>
        <w:pStyle w:val="ListBullet"/>
      </w:pPr>
      <w:r>
        <w:t>Verordnung (EU) Nr. 833/2014 i.d.F. des 14. Sanktionspakets (Sektorale Russland-Sanktionen)</w:t>
      </w:r>
    </w:p>
    <w:p>
      <w:pPr>
        <w:pStyle w:val="ListBullet"/>
      </w:pPr>
      <w:r>
        <w:t>Verordnung (EU) Nr. 423/2007 ff. (Iran-Sanktionen, konsolidiert)</w:t>
      </w:r>
    </w:p>
    <w:p>
      <w:pPr>
        <w:pStyle w:val="ListBullet"/>
      </w:pPr>
      <w:r>
        <w:t>VO (EU) 2022/576 (Belarus-Sanktionen)</w:t>
      </w:r>
    </w:p>
    <w:p>
      <w:pPr>
        <w:pStyle w:val="ListBullet"/>
      </w:pPr>
      <w:r>
        <w:t>UN-Sicherheitsratsresolutionen (konsolidierte Sanktionsliste UN)</w:t>
      </w:r>
    </w:p>
    <w:p>
      <w:pPr>
        <w:pStyle w:val="ListBullet"/>
      </w:pPr>
      <w:r>
        <w:t>US OFAC SDN-Liste (nachrichtlich, kein EU-Rechtsbindungsgebot, aber Banken-Compliance relevant)</w:t>
      </w:r>
    </w:p>
    <w:p>
      <w:pPr>
        <w:pStyle w:val="ListBullet"/>
      </w:pPr>
      <w:r>
        <w:t>UK HM Treasury Sanctions List (nachrichtlich)</w:t>
      </w:r>
    </w:p>
    <w:p/>
    <w:p>
      <w:pPr>
        <w:pStyle w:val="Heading2"/>
      </w:pPr>
      <w:r>
        <w:rPr>
          <w:rFonts w:ascii="Times New Roman" w:hAnsi="Times New Roman"/>
        </w:rPr>
        <w:t>2. Prüfungsworkflow</w:t>
      </w:r>
    </w:p>
    <w:p>
      <w:pPr>
        <w:pStyle w:val="Heading3"/>
      </w:pPr>
      <w:r>
        <w:rPr>
          <w:rFonts w:ascii="Times New Roman" w:hAnsi="Times New Roman"/>
        </w:rPr>
        <w:t>Schritt 1: Identitätsdatenerhebung</w:t>
      </w:r>
    </w:p>
    <w:p>
      <w:pPr>
        <w:jc w:val="left"/>
      </w:pPr>
      <w:r>
        <w:t>Vor der Screeningdurchführung wurden folgende Identitätsdaten erhoben:</w:t>
      </w:r>
    </w:p>
    <w:p>
      <w:pPr>
        <w:jc w:val="left"/>
      </w:pPr>
      <w:r>
        <w:rPr>
          <w:b/>
        </w:rPr>
        <w:t>Turan Industrial Trading Ltd.:</w:t>
      </w:r>
    </w:p>
    <w:p>
      <w:pPr>
        <w:pStyle w:val="ListBullet"/>
      </w:pPr>
      <w:r>
        <w:t>Registered office: Halaskargazi Cad. 32/4, 34360 Şişli/Istanbul</w:t>
      </w:r>
    </w:p>
    <w:p>
      <w:pPr>
        <w:pStyle w:val="ListBullet"/>
      </w:pPr>
      <w:r>
        <w:t>Handelsregisternummer: Istanbul Ticaret Sicili Nr. 987654</w:t>
      </w:r>
    </w:p>
    <w:p>
      <w:pPr>
        <w:pStyle w:val="ListBullet"/>
      </w:pPr>
      <w:r>
        <w:t>Gründungsjahr: 2019</w:t>
      </w:r>
    </w:p>
    <w:p>
      <w:pPr>
        <w:pStyle w:val="ListBullet"/>
      </w:pPr>
      <w:r>
        <w:t>Geschäftsführer laut Handelsregisterauszug (Stand 03/2026): Kemal Yildirim (TK-Staatsangehörigkeit)</w:t>
      </w:r>
    </w:p>
    <w:p>
      <w:pPr>
        <w:pStyle w:val="ListBullet"/>
      </w:pPr>
      <w:r>
        <w:t>UBO-Selbstauskunft: Murat A., geb. 1974, wohnhaft Istanbul, Anteil 85 %</w:t>
      </w:r>
    </w:p>
    <w:p>
      <w:pPr>
        <w:jc w:val="left"/>
      </w:pPr>
      <w:r>
        <w:rPr>
          <w:b/>
        </w:rPr>
        <w:t>Al Noor FZE:</w:t>
      </w:r>
    </w:p>
    <w:p>
      <w:pPr>
        <w:pStyle w:val="ListBullet"/>
      </w:pPr>
      <w:r>
        <w:t>Sitz: Jebel Ali Free Zone, Dubai, VAE</w:t>
      </w:r>
    </w:p>
    <w:p>
      <w:pPr>
        <w:pStyle w:val="ListBullet"/>
      </w:pPr>
      <w:r>
        <w:t>Registrierungsnummer: JAFZA-2021-FZE-44821</w:t>
      </w:r>
    </w:p>
    <w:p>
      <w:pPr>
        <w:pStyle w:val="ListBullet"/>
      </w:pPr>
      <w:r>
        <w:t>Geschäftsführer: Ahmed Al-Rashidi (VAE-Staatsangehörigkeit)</w:t>
      </w:r>
    </w:p>
    <w:p>
      <w:pPr>
        <w:pStyle w:val="ListBullet"/>
      </w:pPr>
      <w:r>
        <w:t>Tätigkeit laut Selbstauskunft: Handelsvertretung für Industrieprodukte MENA-Region</w:t>
      </w:r>
    </w:p>
    <w:p>
      <w:pPr>
        <w:jc w:val="left"/>
      </w:pPr>
      <w:r>
        <w:rPr>
          <w:b/>
        </w:rPr>
        <w:t>Kasachischer Endkunde:</w:t>
      </w:r>
    </w:p>
    <w:p>
      <w:pPr>
        <w:pStyle w:val="ListBullet"/>
      </w:pPr>
      <w:r>
        <w:t>Nur teilweise bekannt: "Atyrau Machinery Partners LLP", Almaty</w:t>
      </w:r>
    </w:p>
    <w:p>
      <w:pPr>
        <w:pStyle w:val="ListBullet"/>
      </w:pPr>
      <w:r>
        <w:t>Kein Handelsregisterauszug vorhanden</w:t>
      </w:r>
    </w:p>
    <w:p>
      <w:pPr>
        <w:pStyle w:val="ListBullet"/>
      </w:pPr>
      <w:r>
        <w:t>Kein UBO bekannt</w:t>
      </w:r>
    </w:p>
    <w:p>
      <w:pPr>
        <w:pStyle w:val="Heading3"/>
      </w:pPr>
      <w:r>
        <w:rPr>
          <w:rFonts w:ascii="Times New Roman" w:hAnsi="Times New Roman"/>
        </w:rPr>
        <w:t>Schritt 2: Screening-Tool</w:t>
      </w:r>
    </w:p>
    <w:p>
      <w:pPr>
        <w:jc w:val="left"/>
      </w:pPr>
      <w:r>
        <w:t>Verwendet: EU Sanctions Map (ec.europa.eu/tools/sanctions-map), ergänzt durch WorldCheck (Thomson Reuters, Lizenz GM-WC-2024-11), Stand: 09.04.2026.</w:t>
      </w:r>
    </w:p>
    <w:p>
      <w:pPr>
        <w:pStyle w:val="Heading3"/>
      </w:pPr>
      <w:r>
        <w:rPr>
          <w:rFonts w:ascii="Times New Roman" w:hAnsi="Times New Roman"/>
        </w:rPr>
        <w:t>Schritt 3: Screeningdurchführung</w:t>
      </w:r>
    </w:p>
    <w:p>
      <w:pPr>
        <w:jc w:val="left"/>
      </w:pPr>
      <w:r>
        <w:t>Für jede Entität wurden folgende Namens- und Alias-Varianten geprüft:</w:t>
      </w:r>
    </w:p>
    <w:p>
      <w:pPr>
        <w:pStyle w:val="ListBullet"/>
      </w:pPr>
      <w:r>
        <w:t>Exakter Name (alle Sprachversionen, falls bekannt)</w:t>
      </w:r>
    </w:p>
    <w:p>
      <w:pPr>
        <w:pStyle w:val="ListBullet"/>
      </w:pPr>
      <w:r>
        <w:t>Transliterierte Varianten (kyrillisch → lateinisch, arabisch → lateinisch)</w:t>
      </w:r>
    </w:p>
    <w:p>
      <w:pPr>
        <w:pStyle w:val="ListBullet"/>
      </w:pPr>
      <w:r>
        <w:t>Abweichungen bei Vornamen, Mittelinitialen, Namenszusätzen</w:t>
      </w:r>
    </w:p>
    <w:p/>
    <w:p>
      <w:pPr>
        <w:pStyle w:val="Heading2"/>
      </w:pPr>
      <w:r>
        <w:rPr>
          <w:rFonts w:ascii="Times New Roman" w:hAnsi="Times New Roman"/>
        </w:rPr>
        <w:t>3. Screeningergebnisse</w:t>
      </w:r>
    </w:p>
    <w:p>
      <w:pPr>
        <w:pStyle w:val="Heading3"/>
      </w:pPr>
      <w:r>
        <w:rPr>
          <w:rFonts w:ascii="Times New Roman" w:hAnsi="Times New Roman"/>
        </w:rPr>
        <w:t>3.1 Turan Industrial Trading Ltd.</w:t>
      </w:r>
    </w:p>
    <w:p>
      <w:pPr>
        <w:jc w:val="left"/>
      </w:pPr>
      <w:r>
        <w:rPr>
          <w:b/>
        </w:rPr>
        <w:t>Ergebnis:</w:t>
      </w:r>
      <w:r>
        <w:t xml:space="preserve"> Kein direkter Listeneintrag.</w:t>
      </w:r>
    </w:p>
    <w:p>
      <w:pPr>
        <w:jc w:val="left"/>
      </w:pPr>
      <w:r>
        <w:t>Keine Übereinstimmung mit EU-Sanktionsliste, UN-Konsolidierter Liste oder OFAC SDN.</w:t>
      </w:r>
    </w:p>
    <w:p>
      <w:pPr>
        <w:jc w:val="left"/>
      </w:pPr>
      <w:r>
        <w:rPr>
          <w:b/>
        </w:rPr>
        <w:t>Indirekte Risikofaktoren:</w:t>
      </w:r>
    </w:p>
    <w:p>
      <w:pPr>
        <w:pStyle w:val="ListBullet"/>
      </w:pPr>
      <w:r>
        <w:t>Firmengründung 2019 kurz nach Beginn der US-Iran-Sanctions (CAATSA 2017 Follow-on); kein Kausalzusammenhang nachgewiesen</w:t>
      </w:r>
    </w:p>
    <w:p>
      <w:pPr>
        <w:pStyle w:val="ListBullet"/>
      </w:pPr>
      <w:r>
        <w:t>Geschäftsfeld (Industriemaschinenhandel) und Exportmärkte (GUS-Staaten laut Firmenprofil) entsprechen typischen Profilen von Handelsvermittlern</w:t>
      </w:r>
    </w:p>
    <w:p>
      <w:pPr>
        <w:pStyle w:val="Heading3"/>
      </w:pPr>
      <w:r>
        <w:rPr>
          <w:rFonts w:ascii="Times New Roman" w:hAnsi="Times New Roman"/>
        </w:rPr>
        <w:t>3.2 Murat A. (UBO Turan Industrial Trading)</w:t>
      </w:r>
    </w:p>
    <w:p>
      <w:pPr>
        <w:jc w:val="left"/>
      </w:pPr>
      <w:r>
        <w:rPr>
          <w:b/>
        </w:rPr>
        <w:t>Ergebnis: Trefferverdacht (unklare Identität)</w:t>
      </w:r>
    </w:p>
    <w:p>
      <w:pPr>
        <w:jc w:val="left"/>
      </w:pPr>
      <w:r>
        <w:t xml:space="preserve">Im WorldCheck-System wurde ein Eintrag mit dem Namen </w:t>
      </w:r>
      <w:r>
        <w:rPr>
          <w:b/>
        </w:rPr>
        <w:t>"Murat Arslan"</w:t>
      </w:r>
      <w:r>
        <w:t xml:space="preserve"> gefunden: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Feld</w:t>
            </w:r>
          </w:p>
        </w:tc>
        <w:tc>
          <w:tcPr>
            <w:tcW w:type="dxa" w:w="3024"/>
          </w:tcPr>
          <w:p>
            <w:r>
              <w:rPr>
                <w:rFonts w:ascii="Times New Roman" w:hAnsi="Times New Roman"/>
                <w:b/>
                <w:sz w:val="20"/>
              </w:rPr>
              <w:t>Listeneintrag</w:t>
            </w:r>
          </w:p>
        </w:tc>
        <w:tc>
          <w:tcPr>
            <w:tcW w:type="dxa" w:w="3024"/>
          </w:tcPr>
          <w:p>
            <w:r>
              <w:rPr>
                <w:rFonts w:ascii="Times New Roman" w:hAnsi="Times New Roman"/>
                <w:b/>
                <w:sz w:val="20"/>
              </w:rPr>
              <w:t>Selbstauskunft UBO</w:t>
            </w:r>
          </w:p>
        </w:tc>
      </w:tr>
      <w:tr>
        <w:tc>
          <w:tcPr>
            <w:tcW w:type="dxa" w:w="3024"/>
          </w:tcPr>
          <w:p>
            <w:r>
              <w:rPr>
                <w:rFonts w:ascii="Times New Roman" w:hAnsi="Times New Roman"/>
                <w:sz w:val="20"/>
              </w:rPr>
              <w:t>Vollname</w:t>
            </w:r>
          </w:p>
        </w:tc>
        <w:tc>
          <w:tcPr>
            <w:tcW w:type="dxa" w:w="3024"/>
          </w:tcPr>
          <w:p>
            <w:r>
              <w:rPr>
                <w:rFonts w:ascii="Times New Roman" w:hAnsi="Times New Roman"/>
                <w:sz w:val="20"/>
              </w:rPr>
              <w:t>Murat Arslan</w:t>
            </w:r>
          </w:p>
        </w:tc>
        <w:tc>
          <w:tcPr>
            <w:tcW w:type="dxa" w:w="3024"/>
          </w:tcPr>
          <w:p>
            <w:r>
              <w:rPr>
                <w:rFonts w:ascii="Times New Roman" w:hAnsi="Times New Roman"/>
                <w:sz w:val="20"/>
              </w:rPr>
              <w:t>Murat A. (Nachname nur Initial)</w:t>
            </w:r>
          </w:p>
        </w:tc>
      </w:tr>
      <w:tr>
        <w:tc>
          <w:tcPr>
            <w:tcW w:type="dxa" w:w="3024"/>
          </w:tcPr>
          <w:p>
            <w:r>
              <w:rPr>
                <w:rFonts w:ascii="Times New Roman" w:hAnsi="Times New Roman"/>
                <w:sz w:val="20"/>
              </w:rPr>
              <w:t>Geburtsdatum</w:t>
            </w:r>
          </w:p>
        </w:tc>
        <w:tc>
          <w:tcPr>
            <w:tcW w:type="dxa" w:w="3024"/>
          </w:tcPr>
          <w:p>
            <w:r>
              <w:rPr>
                <w:rFonts w:ascii="Times New Roman" w:hAnsi="Times New Roman"/>
                <w:sz w:val="20"/>
              </w:rPr>
              <w:t>12.03.1971</w:t>
            </w:r>
          </w:p>
        </w:tc>
        <w:tc>
          <w:tcPr>
            <w:tcW w:type="dxa" w:w="3024"/>
          </w:tcPr>
          <w:p>
            <w:r>
              <w:rPr>
                <w:rFonts w:ascii="Times New Roman" w:hAnsi="Times New Roman"/>
                <w:sz w:val="20"/>
              </w:rPr>
              <w:t>07.09.1974</w:t>
            </w:r>
          </w:p>
        </w:tc>
      </w:tr>
      <w:tr>
        <w:tc>
          <w:tcPr>
            <w:tcW w:type="dxa" w:w="3024"/>
          </w:tcPr>
          <w:p>
            <w:r>
              <w:rPr>
                <w:rFonts w:ascii="Times New Roman" w:hAnsi="Times New Roman"/>
                <w:sz w:val="20"/>
              </w:rPr>
              <w:t>Nationalität</w:t>
            </w:r>
          </w:p>
        </w:tc>
        <w:tc>
          <w:tcPr>
            <w:tcW w:type="dxa" w:w="3024"/>
          </w:tcPr>
          <w:p>
            <w:r>
              <w:rPr>
                <w:rFonts w:ascii="Times New Roman" w:hAnsi="Times New Roman"/>
                <w:sz w:val="20"/>
              </w:rPr>
              <w:t>Russisch (Einbürgerung 2013)</w:t>
            </w:r>
          </w:p>
        </w:tc>
        <w:tc>
          <w:tcPr>
            <w:tcW w:type="dxa" w:w="3024"/>
          </w:tcPr>
          <w:p>
            <w:r>
              <w:rPr>
                <w:rFonts w:ascii="Times New Roman" w:hAnsi="Times New Roman"/>
                <w:sz w:val="20"/>
              </w:rPr>
              <w:t>Türkisch</w:t>
            </w:r>
          </w:p>
        </w:tc>
      </w:tr>
      <w:tr>
        <w:tc>
          <w:tcPr>
            <w:tcW w:type="dxa" w:w="3024"/>
          </w:tcPr>
          <w:p>
            <w:r>
              <w:rPr>
                <w:rFonts w:ascii="Times New Roman" w:hAnsi="Times New Roman"/>
                <w:sz w:val="20"/>
              </w:rPr>
              <w:t>Sanktionsregime</w:t>
            </w:r>
          </w:p>
        </w:tc>
        <w:tc>
          <w:tcPr>
            <w:tcW w:type="dxa" w:w="3024"/>
          </w:tcPr>
          <w:p>
            <w:r>
              <w:rPr>
                <w:rFonts w:ascii="Times New Roman" w:hAnsi="Times New Roman"/>
                <w:sz w:val="20"/>
              </w:rPr>
              <w:t>VO (EU) 269/2014, Nr. 1147</w:t>
            </w:r>
          </w:p>
        </w:tc>
        <w:tc>
          <w:tcPr>
            <w:tcW w:type="dxa" w:w="3024"/>
          </w:tcPr>
          <w:p>
            <w:r>
              <w:rPr>
                <w:rFonts w:ascii="Times New Roman" w:hAnsi="Times New Roman"/>
                <w:sz w:val="20"/>
              </w:rPr>
              <w:t>—</w:t>
            </w:r>
          </w:p>
        </w:tc>
      </w:tr>
      <w:tr>
        <w:tc>
          <w:tcPr>
            <w:tcW w:type="dxa" w:w="3024"/>
          </w:tcPr>
          <w:p>
            <w:r>
              <w:rPr>
                <w:rFonts w:ascii="Times New Roman" w:hAnsi="Times New Roman"/>
                <w:sz w:val="20"/>
              </w:rPr>
              <w:t>Listungsgrund</w:t>
            </w:r>
          </w:p>
        </w:tc>
        <w:tc>
          <w:tcPr>
            <w:tcW w:type="dxa" w:w="3024"/>
          </w:tcPr>
          <w:p>
            <w:r>
              <w:rPr>
                <w:rFonts w:ascii="Times New Roman" w:hAnsi="Times New Roman"/>
                <w:sz w:val="20"/>
              </w:rPr>
              <w:t>Finanzieller Vorteil aus Russlandgeschäften nach 2022</w:t>
            </w:r>
          </w:p>
        </w:tc>
        <w:tc>
          <w:tcPr>
            <w:tcW w:type="dxa" w:w="3024"/>
          </w:tcPr>
          <w:p>
            <w:r>
              <w:rPr>
                <w:rFonts w:ascii="Times New Roman" w:hAnsi="Times New Roman"/>
                <w:sz w:val="20"/>
              </w:rPr>
              <w:t>—</w:t>
            </w:r>
          </w:p>
        </w:tc>
      </w:tr>
    </w:tbl>
    <w:p>
      <w:pPr>
        <w:jc w:val="left"/>
      </w:pPr>
      <w:r>
        <w:rPr>
          <w:b/>
        </w:rPr>
        <w:t>Bewertung:</w:t>
      </w:r>
    </w:p>
    <w:p>
      <w:pPr>
        <w:pStyle w:val="ListBullet"/>
      </w:pPr>
      <w:r>
        <w:t>Der Vorname stimmt überein.</w:t>
      </w:r>
    </w:p>
    <w:p>
      <w:pPr>
        <w:pStyle w:val="ListBullet"/>
      </w:pPr>
      <w:r>
        <w:t>Das Geburtsjahr weicht um 3 Jahre ab (1971 vs. 1974).</w:t>
      </w:r>
    </w:p>
    <w:p>
      <w:pPr>
        <w:pStyle w:val="ListBullet"/>
      </w:pPr>
      <w:r>
        <w:t>Die Staatsangehörigkeit weicht ab (russisch vs. türkisch).</w:t>
      </w:r>
    </w:p>
    <w:p>
      <w:pPr>
        <w:pStyle w:val="ListBullet"/>
      </w:pPr>
      <w:r>
        <w:t>Der Nachname ist seitens des UBO nur als Initial "A." angegeben – eine Prüfung auf "Arslan" war damit nicht vollständig möglich.</w:t>
      </w:r>
    </w:p>
    <w:p>
      <w:pPr>
        <w:jc w:val="left"/>
      </w:pPr>
      <w:r>
        <w:rPr>
          <w:b/>
        </w:rPr>
        <w:t>Eskalationsstufe:</w:t>
      </w:r>
      <w:r>
        <w:t xml:space="preserve"> Die Abweichungen beim Geburtsdatum und der Staatsangehörigkeit schließen eine Identität nicht aus (mögliche Fehleintragungen in der Selbstauskunft; Doppelstaatsbürgerschaft ist in der Türkei grundsätzlich möglich). </w:t>
      </w:r>
      <w:r>
        <w:rPr>
          <w:b/>
        </w:rPr>
        <w:t>Es liegt ein nicht aufgelöster Trefferverdacht vor.</w:t>
      </w:r>
    </w:p>
    <w:p>
      <w:pPr>
        <w:jc w:val="left"/>
      </w:pPr>
      <w:r>
        <w:rPr>
          <w:b/>
        </w:rPr>
        <w:t>Handlungsanweisung:</w:t>
      </w:r>
      <w:r>
        <w:t xml:space="preserve"> Der Verdacht ist nicht als "Falsch-Positiv" abzulegen; eine erhöhte Sorgfaltsprüfung (Enhanced Due Diligence – EDD) ist einzuleiten.</w:t>
      </w:r>
    </w:p>
    <w:p>
      <w:pPr>
        <w:pStyle w:val="Heading3"/>
      </w:pPr>
      <w:r>
        <w:rPr>
          <w:rFonts w:ascii="Times New Roman" w:hAnsi="Times New Roman"/>
        </w:rPr>
        <w:t>3.3 Al Noor FZE, Dubai</w:t>
      </w:r>
    </w:p>
    <w:p>
      <w:pPr>
        <w:jc w:val="left"/>
      </w:pPr>
      <w:r>
        <w:rPr>
          <w:b/>
        </w:rPr>
        <w:t>Ergebnis: Kein direkter Listeneintrag, aber erhöhtes Risikoprofil</w:t>
      </w:r>
    </w:p>
    <w:p>
      <w:pPr>
        <w:jc w:val="left"/>
      </w:pPr>
      <w:r>
        <w:t>Kein Treffer in EU-Sanktionsliste, UN-Konsolidierter Liste oder OFAC SDN für "Al Noor FZE" oder "Ahmed Al-Rashidi".</w:t>
      </w:r>
    </w:p>
    <w:p>
      <w:pPr>
        <w:jc w:val="left"/>
      </w:pPr>
      <w:r>
        <w:rPr>
          <w:b/>
        </w:rPr>
        <w:t>Indirekte Risikofaktoren:</w:t>
      </w:r>
    </w:p>
    <w:p>
      <w:pPr>
        <w:pStyle w:val="ListBullet"/>
      </w:pPr>
      <w:r>
        <w:t>Die VAE stehen seit 2023 auf der FATF-"Grayliste" (enhanced monitoring); seit Q1 2026 wieder formal abgelistet, aber Residualrisiko besteht.</w:t>
      </w:r>
    </w:p>
    <w:p>
      <w:pPr>
        <w:pStyle w:val="ListBullet"/>
      </w:pPr>
      <w:r>
        <w:t>Zahlungen VAE → DE für Industriegüter mit Endbestimmung GUS/Iran sind ein klassisches Umgehungsmuster (vgl. BaFin-Rundschreiben 03/2024 zu Export-Sanctions-Circumvention).</w:t>
      </w:r>
    </w:p>
    <w:p>
      <w:pPr>
        <w:pStyle w:val="ListBullet"/>
      </w:pPr>
      <w:r>
        <w:t>Der Firmensitz in der Jebel Ali Freihandelszone (JAFZA) ermöglicht vereinfachte Unternehmensgründung mit geringer Substanz.</w:t>
      </w:r>
    </w:p>
    <w:p>
      <w:pPr>
        <w:pStyle w:val="ListBullet"/>
      </w:pPr>
      <w:r>
        <w:t>Provision von 48.000 EUR für Handelsvermittlung ohne erkennbare wirtschaftliche Gegenleistung (AWV-Zahlungsdaten).</w:t>
      </w:r>
    </w:p>
    <w:p>
      <w:pPr>
        <w:jc w:val="left"/>
      </w:pPr>
      <w:r>
        <w:rPr>
          <w:b/>
        </w:rPr>
        <w:t>Eskalationsstufe:</w:t>
      </w:r>
      <w:r>
        <w:t xml:space="preserve"> Kein Sanktionslistentreffer, aber </w:t>
      </w:r>
      <w:r>
        <w:rPr>
          <w:b/>
        </w:rPr>
        <w:t>Umgehungsrisikoverdacht</w:t>
      </w:r>
      <w:r>
        <w:t xml:space="preserve"> nach Art. 12g VO (EU) 833/2014 i.V.m. Erwägungsgrund 9 des 12. Sanktionspakets (Drittstaatenvermittler). Eine Enhanced Due Diligence für Al Noor FZE ist einzuleiten.</w:t>
      </w:r>
    </w:p>
    <w:p>
      <w:pPr>
        <w:pStyle w:val="Heading3"/>
      </w:pPr>
      <w:r>
        <w:rPr>
          <w:rFonts w:ascii="Times New Roman" w:hAnsi="Times New Roman"/>
        </w:rPr>
        <w:t>3.4 Atyrau Machinery Partners LLP, Kasachstan</w:t>
      </w:r>
    </w:p>
    <w:p>
      <w:pPr>
        <w:jc w:val="left"/>
      </w:pPr>
      <w:r>
        <w:rPr>
          <w:b/>
        </w:rPr>
        <w:t>Ergebnis: Prüfung nicht abgeschlossen (Identität unvollständig)</w:t>
      </w:r>
    </w:p>
    <w:p>
      <w:pPr>
        <w:jc w:val="left"/>
      </w:pPr>
      <w:r>
        <w:t>In der EU-Sanktionsliste, UN-Liste und OFAC SDN: kein Treffer für "Atyrau Machinery Partners".</w:t>
      </w:r>
    </w:p>
    <w:p>
      <w:pPr>
        <w:jc w:val="left"/>
      </w:pPr>
      <w:r>
        <w:rPr>
          <w:b/>
        </w:rPr>
        <w:t>Problem:</w:t>
      </w:r>
      <w:r>
        <w:t xml:space="preserve"> Kein Handelsregisterauszug, kein UBO bekannt. Eine vollständige Sanktionslistenprüfung ist ohne Identifikation der wirtschaftlich Berechtigten nicht möglich.</w:t>
      </w:r>
    </w:p>
    <w:p>
      <w:pPr>
        <w:jc w:val="left"/>
      </w:pPr>
      <w:r>
        <w:rPr>
          <w:b/>
        </w:rPr>
        <w:t>Eskalationsstufe:</w:t>
      </w:r>
      <w:r>
        <w:t xml:space="preserve"> Prüfung offen – Liefergenehmigung kann nicht erteilt werden, bis vollständige KYC-Unterlagen vorliegen.</w:t>
      </w:r>
    </w:p>
    <w:p/>
    <w:p>
      <w:pPr>
        <w:pStyle w:val="Heading2"/>
      </w:pPr>
      <w:r>
        <w:rPr>
          <w:rFonts w:ascii="Times New Roman" w:hAnsi="Times New Roman"/>
        </w:rPr>
        <w:t>4. Gesamtbewertung Sanktionsrisiko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Entität</w:t>
            </w:r>
          </w:p>
        </w:tc>
        <w:tc>
          <w:tcPr>
            <w:tcW w:type="dxa" w:w="2268"/>
          </w:tcPr>
          <w:p>
            <w:r>
              <w:rPr>
                <w:rFonts w:ascii="Times New Roman" w:hAnsi="Times New Roman"/>
                <w:b/>
                <w:sz w:val="20"/>
              </w:rPr>
              <w:t>Listenstatus</w:t>
            </w:r>
          </w:p>
        </w:tc>
        <w:tc>
          <w:tcPr>
            <w:tcW w:type="dxa" w:w="2268"/>
          </w:tcPr>
          <w:p>
            <w:r>
              <w:rPr>
                <w:rFonts w:ascii="Times New Roman" w:hAnsi="Times New Roman"/>
                <w:b/>
                <w:sz w:val="20"/>
              </w:rPr>
              <w:t>Risikostufe</w:t>
            </w:r>
          </w:p>
        </w:tc>
        <w:tc>
          <w:tcPr>
            <w:tcW w:type="dxa" w:w="2268"/>
          </w:tcPr>
          <w:p>
            <w:r>
              <w:rPr>
                <w:rFonts w:ascii="Times New Roman" w:hAnsi="Times New Roman"/>
                <w:b/>
                <w:sz w:val="20"/>
              </w:rPr>
              <w:t>Maßnahme</w:t>
            </w:r>
          </w:p>
        </w:tc>
      </w:tr>
      <w:tr>
        <w:tc>
          <w:tcPr>
            <w:tcW w:type="dxa" w:w="2268"/>
          </w:tcPr>
          <w:p>
            <w:r>
              <w:rPr>
                <w:rFonts w:ascii="Times New Roman" w:hAnsi="Times New Roman"/>
                <w:sz w:val="20"/>
              </w:rPr>
              <w:t>Turan Industrial Trading Ltd.</w:t>
            </w:r>
          </w:p>
        </w:tc>
        <w:tc>
          <w:tcPr>
            <w:tcW w:type="dxa" w:w="2268"/>
          </w:tcPr>
          <w:p>
            <w:r>
              <w:rPr>
                <w:rFonts w:ascii="Times New Roman" w:hAnsi="Times New Roman"/>
                <w:sz w:val="20"/>
              </w:rPr>
              <w:t>Kein Treffer</w:t>
            </w:r>
          </w:p>
        </w:tc>
        <w:tc>
          <w:tcPr>
            <w:tcW w:type="dxa" w:w="2268"/>
          </w:tcPr>
          <w:p>
            <w:r>
              <w:rPr>
                <w:rFonts w:ascii="Times New Roman" w:hAnsi="Times New Roman"/>
                <w:sz w:val="20"/>
              </w:rPr>
              <w:t>Mittel (Handelsprofil)</w:t>
            </w:r>
          </w:p>
        </w:tc>
        <w:tc>
          <w:tcPr>
            <w:tcW w:type="dxa" w:w="2268"/>
          </w:tcPr>
          <w:p>
            <w:r>
              <w:rPr>
                <w:rFonts w:ascii="Times New Roman" w:hAnsi="Times New Roman"/>
                <w:sz w:val="20"/>
              </w:rPr>
              <w:t>Standard-Due-Diligence + Vertragsklauses</w:t>
            </w:r>
          </w:p>
        </w:tc>
      </w:tr>
      <w:tr>
        <w:tc>
          <w:tcPr>
            <w:tcW w:type="dxa" w:w="2268"/>
          </w:tcPr>
          <w:p>
            <w:r>
              <w:rPr>
                <w:rFonts w:ascii="Times New Roman" w:hAnsi="Times New Roman"/>
                <w:sz w:val="20"/>
              </w:rPr>
              <w:t>Murat A. (UBO)</w:t>
            </w:r>
          </w:p>
        </w:tc>
        <w:tc>
          <w:tcPr>
            <w:tcW w:type="dxa" w:w="2268"/>
          </w:tcPr>
          <w:p>
            <w:r>
              <w:rPr>
                <w:rFonts w:ascii="Times New Roman" w:hAnsi="Times New Roman"/>
                <w:b/>
                <w:sz w:val="20"/>
              </w:rPr>
              <w:t>Trefferverdacht ungeklärt</w:t>
            </w:r>
          </w:p>
        </w:tc>
        <w:tc>
          <w:tcPr>
            <w:tcW w:type="dxa" w:w="2268"/>
          </w:tcPr>
          <w:p>
            <w:r>
              <w:rPr>
                <w:rFonts w:ascii="Times New Roman" w:hAnsi="Times New Roman"/>
                <w:b/>
                <w:sz w:val="20"/>
              </w:rPr>
              <w:t>Hoch</w:t>
            </w:r>
          </w:p>
        </w:tc>
        <w:tc>
          <w:tcPr>
            <w:tcW w:type="dxa" w:w="2268"/>
          </w:tcPr>
          <w:p>
            <w:r>
              <w:rPr>
                <w:rFonts w:ascii="Times New Roman" w:hAnsi="Times New Roman"/>
                <w:sz w:val="20"/>
              </w:rPr>
              <w:t>EDD, Vollnamen + Dokumente anfordern</w:t>
            </w:r>
          </w:p>
        </w:tc>
      </w:tr>
      <w:tr>
        <w:tc>
          <w:tcPr>
            <w:tcW w:type="dxa" w:w="2268"/>
          </w:tcPr>
          <w:p>
            <w:r>
              <w:rPr>
                <w:rFonts w:ascii="Times New Roman" w:hAnsi="Times New Roman"/>
                <w:sz w:val="20"/>
              </w:rPr>
              <w:t>Al Noor FZE</w:t>
            </w:r>
          </w:p>
        </w:tc>
        <w:tc>
          <w:tcPr>
            <w:tcW w:type="dxa" w:w="2268"/>
          </w:tcPr>
          <w:p>
            <w:r>
              <w:rPr>
                <w:rFonts w:ascii="Times New Roman" w:hAnsi="Times New Roman"/>
                <w:sz w:val="20"/>
              </w:rPr>
              <w:t>Kein Treffer</w:t>
            </w:r>
          </w:p>
        </w:tc>
        <w:tc>
          <w:tcPr>
            <w:tcW w:type="dxa" w:w="2268"/>
          </w:tcPr>
          <w:p>
            <w:r>
              <w:rPr>
                <w:rFonts w:ascii="Times New Roman" w:hAnsi="Times New Roman"/>
                <w:b/>
                <w:sz w:val="20"/>
              </w:rPr>
              <w:t>Hoch</w:t>
            </w:r>
            <w:r>
              <w:rPr>
                <w:rFonts w:ascii="Times New Roman" w:hAnsi="Times New Roman"/>
                <w:sz w:val="20"/>
              </w:rPr>
              <w:t xml:space="preserve"> (Umgehungsrisiko)</w:t>
            </w:r>
          </w:p>
        </w:tc>
        <w:tc>
          <w:tcPr>
            <w:tcW w:type="dxa" w:w="2268"/>
          </w:tcPr>
          <w:p>
            <w:r>
              <w:rPr>
                <w:rFonts w:ascii="Times New Roman" w:hAnsi="Times New Roman"/>
                <w:sz w:val="20"/>
              </w:rPr>
              <w:t>EDD, Wirtschaftliche Substanz prüfen</w:t>
            </w:r>
          </w:p>
        </w:tc>
      </w:tr>
      <w:tr>
        <w:tc>
          <w:tcPr>
            <w:tcW w:type="dxa" w:w="2268"/>
          </w:tcPr>
          <w:p>
            <w:r>
              <w:rPr>
                <w:rFonts w:ascii="Times New Roman" w:hAnsi="Times New Roman"/>
                <w:sz w:val="20"/>
              </w:rPr>
              <w:t>Atyrau Machinery Partners LLP</w:t>
            </w:r>
          </w:p>
        </w:tc>
        <w:tc>
          <w:tcPr>
            <w:tcW w:type="dxa" w:w="2268"/>
          </w:tcPr>
          <w:p>
            <w:r>
              <w:rPr>
                <w:rFonts w:ascii="Times New Roman" w:hAnsi="Times New Roman"/>
                <w:sz w:val="20"/>
              </w:rPr>
              <w:t>Prüfung offen</w:t>
            </w:r>
          </w:p>
        </w:tc>
        <w:tc>
          <w:tcPr>
            <w:tcW w:type="dxa" w:w="2268"/>
          </w:tcPr>
          <w:p>
            <w:r>
              <w:rPr>
                <w:rFonts w:ascii="Times New Roman" w:hAnsi="Times New Roman"/>
                <w:b/>
                <w:sz w:val="20"/>
              </w:rPr>
              <w:t>Unklar</w:t>
            </w:r>
          </w:p>
        </w:tc>
        <w:tc>
          <w:tcPr>
            <w:tcW w:type="dxa" w:w="2268"/>
          </w:tcPr>
          <w:p>
            <w:r>
              <w:rPr>
                <w:rFonts w:ascii="Times New Roman" w:hAnsi="Times New Roman"/>
                <w:sz w:val="20"/>
              </w:rPr>
              <w:t>KYC abschließen vor Freigabe</w:t>
            </w:r>
          </w:p>
        </w:tc>
      </w:tr>
    </w:tbl>
    <w:p/>
    <w:p>
      <w:pPr>
        <w:pStyle w:val="Heading2"/>
      </w:pPr>
      <w:r>
        <w:rPr>
          <w:rFonts w:ascii="Times New Roman" w:hAnsi="Times New Roman"/>
        </w:rPr>
        <w:t>5. Dokumentierter Entscheidungsworkflow</w:t>
      </w:r>
    </w:p>
    <w:p>
      <w:pPr>
        <w:jc w:val="left"/>
      </w:pPr>
      <w:r>
        <w:t>```</w:t>
      </w:r>
    </w:p>
    <w:p>
      <w:pPr>
        <w:jc w:val="left"/>
      </w:pPr>
      <w:r>
        <w:t>[Neukundenanfrage eingegangen 01.04.2026]</w:t>
      </w:r>
    </w:p>
    <w:p>
      <w:pPr>
        <w:jc w:val="left"/>
      </w:pPr>
      <w:r>
        <w:t>│</w:t>
      </w:r>
    </w:p>
    <w:p>
      <w:pPr>
        <w:jc w:val="left"/>
      </w:pPr>
      <w:r>
        <w:t>▼</w:t>
      </w:r>
    </w:p>
    <w:p>
      <w:pPr>
        <w:jc w:val="left"/>
      </w:pPr>
      <w:r>
        <w:t>[Identitätsdaten erhoben (Selbstauskunft + Handelsdokumente)]</w:t>
      </w:r>
    </w:p>
    <w:p>
      <w:pPr>
        <w:jc w:val="left"/>
      </w:pPr>
      <w:r>
        <w:t>│</w:t>
      </w:r>
    </w:p>
    <w:p>
      <w:pPr>
        <w:jc w:val="left"/>
      </w:pPr>
      <w:r>
        <w:t>▼</w:t>
      </w:r>
    </w:p>
    <w:p>
      <w:pPr>
        <w:jc w:val="left"/>
      </w:pPr>
      <w:r>
        <w:t>[Screening EU Sanctions Map + WorldCheck 09.04.2026]</w:t>
      </w:r>
    </w:p>
    <w:p>
      <w:pPr>
        <w:jc w:val="left"/>
      </w:pPr>
      <w:r>
        <w:t>│</w:t>
      </w:r>
    </w:p>
    <w:p>
      <w:pPr>
        <w:jc w:val="left"/>
      </w:pPr>
      <w:r>
        <w:t>├──► [Kein Treffer: Turan Industrial → Weiterleitung Standard-KYC]</w:t>
      </w:r>
    </w:p>
    <w:p>
      <w:pPr>
        <w:jc w:val="left"/>
      </w:pPr>
      <w:r>
        <w:t>│</w:t>
      </w:r>
    </w:p>
    <w:p>
      <w:pPr>
        <w:jc w:val="left"/>
      </w:pPr>
      <w:r>
        <w:t>├──► [Trefferverdacht: Murat A. → Eskalation an Compliance-Leitung 10.04.2026]</w:t>
      </w:r>
    </w:p>
    <w:p>
      <w:pPr>
        <w:jc w:val="left"/>
      </w:pPr>
      <w:r>
        <w:t>│</w:t>
      </w:r>
    </w:p>
    <w:p>
      <w:pPr>
        <w:jc w:val="left"/>
      </w:pPr>
      <w:r>
        <w:t>├──► [Risikobefund: Al Noor FZE → Eskalation + EDD-Anforderung]</w:t>
      </w:r>
    </w:p>
    <w:p>
      <w:pPr>
        <w:jc w:val="left"/>
      </w:pPr>
      <w:r>
        <w:t>│</w:t>
      </w:r>
    </w:p>
    <w:p>
      <w:pPr>
        <w:jc w:val="left"/>
      </w:pPr>
      <w:r>
        <w:t>└──► [Prüfung offen: Atyrau Machinery → Liefersperre bis KYC vollständig]</w:t>
      </w:r>
    </w:p>
    <w:p>
      <w:pPr>
        <w:jc w:val="left"/>
      </w:pPr>
      <w:r>
        <w:t>```</w:t>
      </w:r>
    </w:p>
    <w:p>
      <w:pPr>
        <w:jc w:val="left"/>
      </w:pPr>
      <w:r>
        <w:rPr>
          <w:b/>
        </w:rPr>
        <w:t>Eskalation erfolgt:</w:t>
      </w:r>
      <w:r>
        <w:t xml:space="preserve"> 10.04.2026, 14:32 Uhr, per E-Mail an Dr. Sabine Brennecke und Geschäftsführung (Marcus Vogt).</w:t>
      </w:r>
    </w:p>
    <w:p/>
    <w:p>
      <w:pPr>
        <w:pStyle w:val="Heading2"/>
      </w:pPr>
      <w:r>
        <w:rPr>
          <w:rFonts w:ascii="Times New Roman" w:hAnsi="Times New Roman"/>
        </w:rPr>
        <w:t>6. Rechtliche Folgen bei unaufgelöstem Trefferverdacht</w:t>
      </w:r>
    </w:p>
    <w:p>
      <w:pPr>
        <w:jc w:val="left"/>
      </w:pPr>
      <w:r>
        <w:t>Gemäß Art. 2 VO (EU) 269/2014 sind alle Gelder und wirtschaftlichen Ressourcen, die Personen auf der Sanktionsliste gehören, eingefroren. Wer wissentlich an einer Transaktion mit einer gelisteten Person teilnimmt, macht sich nach § 18 AWG (Bußgeld) oder § 17 AWG (Freiheitsstrafe bis 10 Jahre bei vorsätzlichem Verstoß gegen Embargo) strafbar.</w:t>
      </w:r>
    </w:p>
    <w:p>
      <w:pPr>
        <w:jc w:val="left"/>
      </w:pPr>
      <w:r>
        <w:rPr>
          <w:b/>
        </w:rPr>
        <w:t>Zwischenkonsequenz:</w:t>
      </w:r>
      <w:r>
        <w:t xml:space="preserve"> Jede Auszahlung oder Leistungserbringung gegenüber Turan Industrial Trading Ltd. ist bis zur Klärung des Trefferverdachts (UBO Murat A.) zu unterlassen. Die bereits eingegangene Vorauszahlung von 125.000 EUR (Turan) ist bis auf Weiteres zu sperren und ggf. der Deutschen Bundesbank gemäß § 5 AWV zu melden.</w:t>
      </w:r>
    </w:p>
    <w:p/>
    <w:p>
      <w:pPr>
        <w:pStyle w:val="Heading2"/>
      </w:pPr>
      <w:r>
        <w:rPr>
          <w:rFonts w:ascii="Times New Roman" w:hAnsi="Times New Roman"/>
        </w:rPr>
        <w:t>7. Nächste Schritte</w:t>
      </w:r>
    </w:p>
    <w:p>
      <w:pPr>
        <w:pStyle w:val="ListBullet"/>
      </w:pPr>
      <w:r>
        <w:t>[ ] Turan Industrial Trading: Anforderung vollständiger UBO-Dokumente (Pass + Wohnsitznachweis für Murat A.) bis 17.04.2026</w:t>
      </w:r>
    </w:p>
    <w:p>
      <w:pPr>
        <w:pStyle w:val="ListBullet"/>
      </w:pPr>
      <w:r>
        <w:t>[ ] Al Noor FZE: Enhanced Due Diligence (Substanzprüfung, Gesellschaftsstruktur, Bankreferenz)</w:t>
      </w:r>
    </w:p>
    <w:p>
      <w:pPr>
        <w:pStyle w:val="ListBullet"/>
      </w:pPr>
      <w:r>
        <w:t>[ ] Atyrau Machinery Partners LLP: Handelsregisterauszug KZ + UBO-Erklärung anfordern</w:t>
      </w:r>
    </w:p>
    <w:p>
      <w:pPr>
        <w:pStyle w:val="ListBullet"/>
      </w:pPr>
      <w:r>
        <w:t>[ ] Bundesbank-Meldung zur Vorauszahlung prüfen (§ 5 Abs. 1 AWV: meldepflichtige Forderung?)</w:t>
      </w:r>
    </w:p>
    <w:p>
      <w:pPr>
        <w:pStyle w:val="ListBullet"/>
      </w:pPr>
      <w:r>
        <w:t>[ ] Interne Eskalation an Geschäftsführung mit Empfehlung Lieferstopp dokumentieren</w:t>
      </w:r>
    </w:p>
    <w:p>
      <w:pPr>
        <w:pStyle w:val="ListBullet"/>
      </w:pPr>
      <w:r>
        <w:t>[ ] Wiedervorlage: 17.04.2026</w:t>
      </w:r>
    </w:p>
    <w:p/>
    <w:p>
      <w:pPr>
        <w:jc w:val="left"/>
      </w:pPr>
      <w:r>
        <w:rPr>
          <w:i/>
        </w:rPr>
        <w:t>GM-SANKT-2026-017 | Franziska Mehlhorn, Compliance-Analystin | 10.04.2026</w:t>
      </w:r>
    </w:p>
    <w:p>
      <w:pPr>
        <w:jc w:val="left"/>
      </w:pPr>
      <w:r>
        <w:rPr>
          <w:i/>
        </w:rPr>
        <w:t>Geprüft: Dr. Sabine Brennecke, Syndikusrechtsanwältin | 10.04.2026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