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Vorschau: cbam_importe_stahl_aluminium</w:t>
      </w:r>
    </w:p>
    <w:p>
      <w:pPr>
        <w:ind w:left="567"/>
      </w:pPr>
      <w:r>
        <w:rPr>
          <w:i/>
        </w:rPr>
        <w:t>Markdown-Vorschau der gleichnamigen XLSX-Datei. Berechnungen, Formeln und Formatierung nur im Original.</w:t>
      </w:r>
    </w:p>
    <w:p>
      <w:pPr>
        <w:pStyle w:val="Heading2"/>
      </w:pPr>
      <w:r>
        <w:rPr>
          <w:rFonts w:ascii="Times New Roman" w:hAnsi="Times New Roman"/>
        </w:rPr>
        <w:t>Sheet: CBAM Stoffstrom Q1-2026</w:t>
      </w:r>
    </w:p>
    <w:p>
      <w:pPr>
        <w:pStyle w:val="Heading3"/>
      </w:pPr>
      <w:r>
        <w:rPr>
          <w:rFonts w:ascii="Times New Roman" w:hAnsi="Times New Roman"/>
        </w:rPr>
        <w:t>CBAM-Stoffstromliste Q1/2026 – Globalmaschinen GmbH</w:t>
      </w:r>
    </w:p>
    <w:p>
      <w:pPr>
        <w:jc w:val="left"/>
      </w:pPr>
      <w:r>
        <w:t>_Erstellt: 20.04.2026 \| Verantwortlich: Benedikt Schramm, Zollbeauftragter \| Aktenzeichen: GM-CBAM-2026-001_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0"/>
              </w:rPr>
              <w:t>Lfd. Nr.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0"/>
              </w:rPr>
              <w:t>Quartal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0"/>
              </w:rPr>
              <w:t>Warenbeschreibung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0"/>
              </w:rPr>
              <w:t>KN-Code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0"/>
              </w:rPr>
              <w:t>Warenunterposition (TARIC)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0"/>
              </w:rPr>
              <w:t>Ursprungsland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0"/>
              </w:rPr>
              <w:t>Menge (t)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0"/>
              </w:rPr>
              <w:t>Emissionen (t CO2e)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0"/>
              </w:rPr>
              <w:t>Emissionsfaktor (kg CO2e/t)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0"/>
              </w:rPr>
              <w:t>Datenquelle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0"/>
              </w:rPr>
              <w:t>CBAM-Relevant?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0"/>
              </w:rPr>
              <w:t>Bericht-Status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b/>
                <w:sz w:val="20"/>
              </w:rPr>
              <w:t>Anmerkungen / Prüfbedarf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2026-Q1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Aluminiumprofil (stranggepresst)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7604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7604 21 00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Türkei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6.7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Lieferantendaten fehlen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AUSSTEHEND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Emissionsdaten beim Lieferanten anfordern (Frist 30.04.2026)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2026-Q1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Stahlschrauben (Verbindungselemente)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7318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7318 15 69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China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14.2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2.37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Lieferant Excel-Tabelle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AUSSTEHEND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Warencode prüfen (Antidumping-Verfahren laufend); Emissionen vorhanden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2026-Q1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Elektroschaltschrank (Basisgestell)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8537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8537 10 99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USA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Keine Angabe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NEIN (voraussichtlich)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GEPRÜFT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HS 8537 nicht in Anhang I CBAM-VO; Prüfung abgeschlossen – nicht CBAM-pflichtig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2026-Q1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Stahlblech kaltgewalzt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7209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7209 16 90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Ukraine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12.5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28.75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2.3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Lieferant Zertifikat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DATEN VORHANDEN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Emissionsdaten vollständig; Meldung Q1-Bericht vorzubereiten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2026-Q1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Gusseisen-Formteile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7325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7325 99 10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Indien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1.8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Schätzwert (IPCC-Standardwert)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AUSSTEHEND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Standardemissionswerte aus CBAM-Durchführungsverordnung zu verwenden wenn Lieferant nicht liefert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2026-Q1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Aluminium-Druckgussteile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7616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7616 99 90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Türkei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4.5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6.2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Lieferantendaten fehlen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AUSSTEHEND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Zweiter Aluminiumlieferant TK; Emissionsdaten separat anfordern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2026-Q1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Stahl-Rohrprofile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7306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7306 61 92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Weißrussland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7.8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2.6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Lieferant Direktauskunft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SANKTIONSPRÜFUNG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Lieferant aus BY – Einfuhrverbot nach VO 2022/576 prüfen! Lieferstopp empfohlen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SUMME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LEGENDE: Gelb = CBAM-Meldung ausstehend \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Rot = Sanktionsrisiko prüfen \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Grün = Daten vollständig \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Weiß/Blau = Kein CBAM-Bezug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CBAM-Rechtsgrundlage: Verordnung (EU) 2023/956 \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Übergangszeitraum 2023–2025: Berichtspflicht ohne Zahlungspflicht \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Ab 01.01.2026: volle Anwendung mit CBAM-Zertifikaten \</w:t>
            </w:r>
          </w:p>
        </w:tc>
        <w:tc>
          <w:tcPr>
            <w:tcW w:type="dxa" w:w="567"/>
          </w:tcPr>
          <w:p>
            <w:r>
              <w:rPr>
                <w:rFonts w:ascii="Times New Roman" w:hAnsi="Times New Roman"/>
                <w:sz w:val="20"/>
              </w:rPr>
              <w:t>Zuständigkeit: Benedikt Schramm, Zollbeauftragter</w:t>
            </w:r>
          </w:p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</w:tbl>
    <w:p>
      <w:pPr>
        <w:pStyle w:val="Heading2"/>
      </w:pPr>
      <w:r>
        <w:rPr>
          <w:rFonts w:ascii="Times New Roman" w:hAnsi="Times New Roman"/>
        </w:rPr>
        <w:t>Sheet: AWV-Zahlungen Q1-2026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/>
                <w:sz w:val="20"/>
              </w:rPr>
              <w:t>Betrag (EUR)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/>
                <w:sz w:val="20"/>
              </w:rPr>
              <w:t>Gegenpartei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/>
                <w:sz w:val="20"/>
              </w:rPr>
              <w:t>Land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/>
                <w:sz w:val="20"/>
              </w:rPr>
              <w:t>Zweck / Zahlungsgrund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/>
                <w:sz w:val="20"/>
              </w:rPr>
              <w:t>AWV-meldepflichtig?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/>
                <w:sz w:val="20"/>
              </w:rPr>
              <w:t>Gemeldet?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/>
                <w:sz w:val="20"/>
              </w:rPr>
              <w:t>Meldefrist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b/>
                <w:sz w:val="20"/>
              </w:rPr>
              <w:t>Anmerkungen</w:t>
            </w:r>
          </w:p>
        </w:tc>
      </w:tr>
      <w:tr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18.01.2026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48.000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Al Noor FZE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VAE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Vermittlungsprovision Industriegüter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JA (§ 67 AWV)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07.02.2026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ÜBERFÄLLIG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Nachmeldung sofort; Sanktionsrisiko VAE</w:t>
            </w:r>
          </w:p>
        </w:tc>
      </w:tr>
      <w:tr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03.02.2026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8.900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Swiss Parts AG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Schweiz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Ersatzteile Verbindungselemente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JA (§ 67 AWV, &gt; 5.000 EUR)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NEIN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10.02.2026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ÜBERFÄLLIG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Nachmeldung erforderlich</w:t>
            </w:r>
          </w:p>
        </w:tc>
      </w:tr>
      <w:tr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22.03.2026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125.000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Turan Industrial Trading Ltd.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Türkei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Vorauszahlung Liefervertrag GX-900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JA (§ 67 AWV, &gt; 12.500 EUR)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UNKLAR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07.04.2026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PRÜFEN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Verbindung zu laufender EK-Prüfung; Zahlung gesperrt</w:t>
            </w:r>
          </w:p>
        </w:tc>
      </w:tr>
      <w:tr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15.01.2026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3.200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Logistik Nord GmbH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Deutschland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Frachtkosten inländisch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NEIN (Inland)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Keine AWV-Pflicht</w:t>
            </w:r>
          </w:p>
        </w:tc>
      </w:tr>
      <w:tr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28.02.2026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22.400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Vertex Tools S.r.l.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Italien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Einkauf Fräswerkzeuge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NEIN (EU-Überweisung)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-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  <w:tc>
          <w:tcPr>
            <w:tcW w:type="dxa" w:w="907"/>
          </w:tcPr>
          <w:p>
            <w:r>
              <w:rPr>
                <w:rFonts w:ascii="Times New Roman" w:hAnsi="Times New Roman"/>
                <w:sz w:val="20"/>
              </w:rPr>
              <w:t>EU-Zahlung; keine AWV-Pflicht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