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Verbrauchsteuer-Vermerk: Energieerzeugnisse und Steuerlagerung</w:t>
      </w:r>
    </w:p>
    <w:p>
      <w:pPr>
        <w:jc w:val="left"/>
      </w:pPr>
      <w:r>
        <w:rPr>
          <w:b/>
        </w:rPr>
        <w:t>Dokumenttyp:</w:t>
      </w:r>
      <w:r>
        <w:t xml:space="preserve"> Aktenvermerk / Verbrauchsteuerrechtliche Prüfung</w:t>
      </w:r>
    </w:p>
    <w:p>
      <w:pPr>
        <w:jc w:val="left"/>
      </w:pPr>
      <w:r>
        <w:rPr>
          <w:b/>
        </w:rPr>
        <w:t>Aktenzeichen:</w:t>
      </w:r>
      <w:r>
        <w:t xml:space="preserve"> GM-VS-2026-003</w:t>
      </w:r>
    </w:p>
    <w:p>
      <w:pPr>
        <w:jc w:val="left"/>
      </w:pPr>
      <w:r>
        <w:rPr>
          <w:b/>
        </w:rPr>
        <w:t>Erstellt:</w:t>
      </w:r>
      <w:r>
        <w:t xml:space="preserve"> 12. April 2026</w:t>
      </w:r>
    </w:p>
    <w:p>
      <w:pPr>
        <w:jc w:val="left"/>
      </w:pPr>
      <w:r>
        <w:rPr>
          <w:b/>
        </w:rPr>
        <w:t>Verfasser:</w:t>
      </w:r>
      <w:r>
        <w:t xml:space="preserve"> Benedikt Schramm, Zollbeauftragter</w:t>
      </w:r>
    </w:p>
    <w:p>
      <w:pPr>
        <w:jc w:val="left"/>
      </w:pPr>
      <w:r>
        <w:rPr>
          <w:b/>
        </w:rPr>
        <w:t>Adressat:</w:t>
      </w:r>
      <w:r>
        <w:t xml:space="preserve"> Geschäftsführung, Steuerabteilung</w:t>
      </w:r>
    </w:p>
    <w:p>
      <w:pPr>
        <w:jc w:val="left"/>
      </w:pPr>
      <w:r>
        <w:rPr>
          <w:b/>
        </w:rPr>
        <w:t>Rechtsgrundlage:</w:t>
      </w:r>
      <w:r>
        <w:t xml:space="preserve"> Energiesteuergesetz (EnergieStG), Energiesteuerdurchführungsverordnung (EnergieStV)</w:t>
      </w:r>
    </w:p>
    <w:p/>
    <w:p>
      <w:pPr>
        <w:pStyle w:val="Heading2"/>
      </w:pPr>
      <w:r>
        <w:rPr>
          <w:rFonts w:ascii="Times New Roman" w:hAnsi="Times New Roman"/>
        </w:rPr>
        <w:t>1. Sachverhalt</w:t>
      </w:r>
    </w:p>
    <w:p>
      <w:pPr>
        <w:jc w:val="left"/>
      </w:pPr>
      <w:r>
        <w:t>Das Werk der Globalmaschinen GmbH in Stuttgart-Zuffenhausen betreibt Testprüfstände zur Qualitätsprüfung von CNC-Steuermodulen. Die Prüfstände werden von Elektromotoren angetrieben; zusätzlich werden auf dem Werkgelände folgende Energieerzeugnisse gelagert und verbraucht: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Energieerzeugnis</w:t>
            </w:r>
          </w:p>
        </w:tc>
        <w:tc>
          <w:tcPr>
            <w:tcW w:type="dxa" w:w="2268"/>
          </w:tcPr>
          <w:p>
            <w:r>
              <w:rPr>
                <w:rFonts w:ascii="Times New Roman" w:hAnsi="Times New Roman"/>
                <w:b/>
                <w:sz w:val="20"/>
              </w:rPr>
              <w:t>Verwendungszweck</w:t>
            </w:r>
          </w:p>
        </w:tc>
        <w:tc>
          <w:tcPr>
            <w:tcW w:type="dxa" w:w="2268"/>
          </w:tcPr>
          <w:p>
            <w:r>
              <w:rPr>
                <w:rFonts w:ascii="Times New Roman" w:hAnsi="Times New Roman"/>
                <w:b/>
                <w:sz w:val="20"/>
              </w:rPr>
              <w:t>Lagerort</w:t>
            </w:r>
          </w:p>
        </w:tc>
        <w:tc>
          <w:tcPr>
            <w:tcW w:type="dxa" w:w="2268"/>
          </w:tcPr>
          <w:p>
            <w:r>
              <w:rPr>
                <w:rFonts w:ascii="Times New Roman" w:hAnsi="Times New Roman"/>
                <w:b/>
                <w:sz w:val="20"/>
              </w:rPr>
              <w:t>Geschätzte Jahresmenge</w:t>
            </w:r>
          </w:p>
        </w:tc>
      </w:tr>
      <w:tr>
        <w:tc>
          <w:tcPr>
            <w:tcW w:type="dxa" w:w="2268"/>
          </w:tcPr>
          <w:p>
            <w:r>
              <w:rPr>
                <w:rFonts w:ascii="Times New Roman" w:hAnsi="Times New Roman"/>
                <w:sz w:val="20"/>
              </w:rPr>
              <w:t>Dieselkraftstoff (KW 2710 19 43)</w:t>
            </w:r>
          </w:p>
        </w:tc>
        <w:tc>
          <w:tcPr>
            <w:tcW w:type="dxa" w:w="2268"/>
          </w:tcPr>
          <w:p>
            <w:r>
              <w:rPr>
                <w:rFonts w:ascii="Times New Roman" w:hAnsi="Times New Roman"/>
                <w:sz w:val="20"/>
              </w:rPr>
              <w:t>Notstromaggregat + Staplerflotte</w:t>
            </w:r>
          </w:p>
        </w:tc>
        <w:tc>
          <w:tcPr>
            <w:tcW w:type="dxa" w:w="2268"/>
          </w:tcPr>
          <w:p>
            <w:r>
              <w:rPr>
                <w:rFonts w:ascii="Times New Roman" w:hAnsi="Times New Roman"/>
                <w:sz w:val="20"/>
              </w:rPr>
              <w:t>Lagertank A (Unterflur, 10.000 l)</w:t>
            </w:r>
          </w:p>
        </w:tc>
        <w:tc>
          <w:tcPr>
            <w:tcW w:type="dxa" w:w="2268"/>
          </w:tcPr>
          <w:p>
            <w:r>
              <w:rPr>
                <w:rFonts w:ascii="Times New Roman" w:hAnsi="Times New Roman"/>
                <w:sz w:val="20"/>
              </w:rPr>
              <w:t>ca. 28.000 l/Jahr</w:t>
            </w:r>
          </w:p>
        </w:tc>
      </w:tr>
      <w:tr>
        <w:tc>
          <w:tcPr>
            <w:tcW w:type="dxa" w:w="2268"/>
          </w:tcPr>
          <w:p>
            <w:r>
              <w:rPr>
                <w:rFonts w:ascii="Times New Roman" w:hAnsi="Times New Roman"/>
                <w:sz w:val="20"/>
              </w:rPr>
              <w:t>Ottokraftstoff (KW 2710 12 45)</w:t>
            </w:r>
          </w:p>
        </w:tc>
        <w:tc>
          <w:tcPr>
            <w:tcW w:type="dxa" w:w="2268"/>
          </w:tcPr>
          <w:p>
            <w:r>
              <w:rPr>
                <w:rFonts w:ascii="Times New Roman" w:hAnsi="Times New Roman"/>
                <w:sz w:val="20"/>
              </w:rPr>
              <w:t>Dienstfahrzeuge</w:t>
            </w:r>
          </w:p>
        </w:tc>
        <w:tc>
          <w:tcPr>
            <w:tcW w:type="dxa" w:w="2268"/>
          </w:tcPr>
          <w:p>
            <w:r>
              <w:rPr>
                <w:rFonts w:ascii="Times New Roman" w:hAnsi="Times New Roman"/>
                <w:sz w:val="20"/>
              </w:rPr>
              <w:t>Zapfsäule Betriebshof</w:t>
            </w:r>
          </w:p>
        </w:tc>
        <w:tc>
          <w:tcPr>
            <w:tcW w:type="dxa" w:w="2268"/>
          </w:tcPr>
          <w:p>
            <w:r>
              <w:rPr>
                <w:rFonts w:ascii="Times New Roman" w:hAnsi="Times New Roman"/>
                <w:sz w:val="20"/>
              </w:rPr>
              <w:t>ca. 6.000 l/Jahr</w:t>
            </w:r>
          </w:p>
        </w:tc>
      </w:tr>
      <w:tr>
        <w:tc>
          <w:tcPr>
            <w:tcW w:type="dxa" w:w="2268"/>
          </w:tcPr>
          <w:p>
            <w:r>
              <w:rPr>
                <w:rFonts w:ascii="Times New Roman" w:hAnsi="Times New Roman"/>
                <w:sz w:val="20"/>
              </w:rPr>
              <w:t>Heizöl leicht (KW 2710 19 47)</w:t>
            </w:r>
          </w:p>
        </w:tc>
        <w:tc>
          <w:tcPr>
            <w:tcW w:type="dxa" w:w="2268"/>
          </w:tcPr>
          <w:p>
            <w:r>
              <w:rPr>
                <w:rFonts w:ascii="Times New Roman" w:hAnsi="Times New Roman"/>
                <w:sz w:val="20"/>
              </w:rPr>
              <w:t>Raumheizung Werkhalle 2</w:t>
            </w:r>
          </w:p>
        </w:tc>
        <w:tc>
          <w:tcPr>
            <w:tcW w:type="dxa" w:w="2268"/>
          </w:tcPr>
          <w:p>
            <w:r>
              <w:rPr>
                <w:rFonts w:ascii="Times New Roman" w:hAnsi="Times New Roman"/>
                <w:sz w:val="20"/>
              </w:rPr>
              <w:t>Lagertank B (Überflur, 25.000 l)</w:t>
            </w:r>
          </w:p>
        </w:tc>
        <w:tc>
          <w:tcPr>
            <w:tcW w:type="dxa" w:w="2268"/>
          </w:tcPr>
          <w:p>
            <w:r>
              <w:rPr>
                <w:rFonts w:ascii="Times New Roman" w:hAnsi="Times New Roman"/>
                <w:sz w:val="20"/>
              </w:rPr>
              <w:t>ca. 45.000 l/Jahr</w:t>
            </w:r>
          </w:p>
        </w:tc>
      </w:tr>
      <w:tr>
        <w:tc>
          <w:tcPr>
            <w:tcW w:type="dxa" w:w="2268"/>
          </w:tcPr>
          <w:p>
            <w:r>
              <w:rPr>
                <w:rFonts w:ascii="Times New Roman" w:hAnsi="Times New Roman"/>
                <w:sz w:val="20"/>
              </w:rPr>
              <w:t>Flüssiggas LPG (KW 2711 19 00)</w:t>
            </w:r>
          </w:p>
        </w:tc>
        <w:tc>
          <w:tcPr>
            <w:tcW w:type="dxa" w:w="2268"/>
          </w:tcPr>
          <w:p>
            <w:r>
              <w:rPr>
                <w:rFonts w:ascii="Times New Roman" w:hAnsi="Times New Roman"/>
                <w:sz w:val="20"/>
              </w:rPr>
              <w:t>Prüfstände Hochtemperaturtest</w:t>
            </w:r>
          </w:p>
        </w:tc>
        <w:tc>
          <w:tcPr>
            <w:tcW w:type="dxa" w:w="2268"/>
          </w:tcPr>
          <w:p>
            <w:r>
              <w:rPr>
                <w:rFonts w:ascii="Times New Roman" w:hAnsi="Times New Roman"/>
                <w:sz w:val="20"/>
              </w:rPr>
              <w:t>Drucktank C (5.000 l)</w:t>
            </w:r>
          </w:p>
        </w:tc>
        <w:tc>
          <w:tcPr>
            <w:tcW w:type="dxa" w:w="2268"/>
          </w:tcPr>
          <w:p>
            <w:r>
              <w:rPr>
                <w:rFonts w:ascii="Times New Roman" w:hAnsi="Times New Roman"/>
                <w:sz w:val="20"/>
              </w:rPr>
              <w:t>ca. 12.000 l/Jahr</w:t>
            </w:r>
          </w:p>
        </w:tc>
      </w:tr>
    </w:tbl>
    <w:p/>
    <w:p>
      <w:pPr>
        <w:pStyle w:val="Heading2"/>
      </w:pPr>
      <w:r>
        <w:rPr>
          <w:rFonts w:ascii="Times New Roman" w:hAnsi="Times New Roman"/>
        </w:rPr>
        <w:t>2. Rechtliche Einordnung: Steuerlager und Steuerlagerinhaber</w:t>
      </w:r>
    </w:p>
    <w:p>
      <w:pPr>
        <w:pStyle w:val="Heading3"/>
      </w:pPr>
      <w:r>
        <w:rPr>
          <w:rFonts w:ascii="Times New Roman" w:hAnsi="Times New Roman"/>
        </w:rPr>
        <w:t>2.1 Steuerlager (§ 7 EnergieStG)</w:t>
      </w:r>
    </w:p>
    <w:p>
      <w:pPr>
        <w:jc w:val="left"/>
      </w:pPr>
      <w:r>
        <w:t>Energieerzeugnisse im Sinne des § 4 EnergieStG (Mineralöle, Flüssiggas, Kohle etc.) dürfen unter Steueraussetzung nur in einem zugelassenen Steuerlager hergestellt, verarbeitet oder gelagert werden. Wer Energieerzeugnisse außerhalb eines Steuerlagers lagert, versteuert diese grundsätzlich mit Entstehung der Steuerschuld bei Überführung in den steuerrechtlich freien Verkehr (§ 8 EnergieStG).</w:t>
      </w:r>
    </w:p>
    <w:p>
      <w:pPr>
        <w:jc w:val="left"/>
      </w:pPr>
      <w:r>
        <w:rPr>
          <w:b/>
        </w:rPr>
        <w:t>Freigrenze (§ 7 Abs. 5 EnergieStG):</w:t>
      </w:r>
      <w:r>
        <w:t xml:space="preserve"> Für betriebliche Verwendung ohne Steuerlager gilt eine Freigrenze von 1.000 l Diesel oder Heizöl, die ohne Steuerlager-Bewilligung gelagert werden dürfen.</w:t>
      </w:r>
    </w:p>
    <w:p>
      <w:pPr>
        <w:pStyle w:val="Heading3"/>
      </w:pPr>
      <w:r>
        <w:rPr>
          <w:rFonts w:ascii="Times New Roman" w:hAnsi="Times New Roman"/>
        </w:rPr>
        <w:t>2.2 Aktuelle Lage Globalmaschinen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Ist-Stand</w:t>
            </w:r>
          </w:p>
        </w:tc>
        <w:tc>
          <w:tcPr>
            <w:tcW w:type="dxa" w:w="2268"/>
          </w:tcPr>
          <w:p>
            <w:r>
              <w:rPr>
                <w:rFonts w:ascii="Times New Roman" w:hAnsi="Times New Roman"/>
                <w:b/>
                <w:sz w:val="20"/>
              </w:rPr>
              <w:t>Soll-Stand</w:t>
            </w:r>
          </w:p>
        </w:tc>
        <w:tc>
          <w:tcPr>
            <w:tcW w:type="dxa" w:w="2268"/>
          </w:tcPr>
          <w:p>
            <w:r>
              <w:rPr>
                <w:rFonts w:ascii="Times New Roman" w:hAnsi="Times New Roman"/>
                <w:b/>
                <w:sz w:val="20"/>
              </w:rPr>
              <w:t>Befund</w:t>
            </w:r>
          </w:p>
        </w:tc>
      </w:tr>
      <w:tr>
        <w:tc>
          <w:tcPr>
            <w:tcW w:type="dxa" w:w="2268"/>
          </w:tcPr>
          <w:p>
            <w:r>
              <w:rPr>
                <w:rFonts w:ascii="Times New Roman" w:hAnsi="Times New Roman"/>
                <w:sz w:val="20"/>
              </w:rPr>
              <w:t>Steuerlager-Bewilligung (Diesel)</w:t>
            </w:r>
          </w:p>
        </w:tc>
        <w:tc>
          <w:tcPr>
            <w:tcW w:type="dxa" w:w="2268"/>
          </w:tcPr>
          <w:p>
            <w:r>
              <w:rPr>
                <w:rFonts w:ascii="Times New Roman" w:hAnsi="Times New Roman"/>
                <w:sz w:val="20"/>
              </w:rPr>
              <w:t>Nicht bekannt / unklar</w:t>
            </w:r>
          </w:p>
        </w:tc>
        <w:tc>
          <w:tcPr>
            <w:tcW w:type="dxa" w:w="2268"/>
          </w:tcPr>
          <w:p>
            <w:r>
              <w:rPr>
                <w:rFonts w:ascii="Times New Roman" w:hAnsi="Times New Roman"/>
                <w:sz w:val="20"/>
              </w:rPr>
              <w:t>Erforderlich (&gt; 1.000 l)</w:t>
            </w:r>
          </w:p>
        </w:tc>
        <w:tc>
          <w:tcPr>
            <w:tcW w:type="dxa" w:w="2268"/>
          </w:tcPr>
          <w:p>
            <w:r>
              <w:rPr>
                <w:rFonts w:ascii="Times New Roman" w:hAnsi="Times New Roman"/>
                <w:b/>
                <w:sz w:val="20"/>
              </w:rPr>
              <w:t>Prüfbedarf</w:t>
            </w:r>
          </w:p>
        </w:tc>
      </w:tr>
      <w:tr>
        <w:tc>
          <w:tcPr>
            <w:tcW w:type="dxa" w:w="2268"/>
          </w:tcPr>
          <w:p>
            <w:r>
              <w:rPr>
                <w:rFonts w:ascii="Times New Roman" w:hAnsi="Times New Roman"/>
                <w:sz w:val="20"/>
              </w:rPr>
              <w:t>Steuerlager-Bewilligung (Heizöl)</w:t>
            </w:r>
          </w:p>
        </w:tc>
        <w:tc>
          <w:tcPr>
            <w:tcW w:type="dxa" w:w="2268"/>
          </w:tcPr>
          <w:p>
            <w:r>
              <w:rPr>
                <w:rFonts w:ascii="Times New Roman" w:hAnsi="Times New Roman"/>
                <w:sz w:val="20"/>
              </w:rPr>
              <w:t>Nicht bekannt / unklar</w:t>
            </w:r>
          </w:p>
        </w:tc>
        <w:tc>
          <w:tcPr>
            <w:tcW w:type="dxa" w:w="2268"/>
          </w:tcPr>
          <w:p>
            <w:r>
              <w:rPr>
                <w:rFonts w:ascii="Times New Roman" w:hAnsi="Times New Roman"/>
                <w:sz w:val="20"/>
              </w:rPr>
              <w:t>Erforderlich (&gt; 1.000 l)</w:t>
            </w:r>
          </w:p>
        </w:tc>
        <w:tc>
          <w:tcPr>
            <w:tcW w:type="dxa" w:w="2268"/>
          </w:tcPr>
          <w:p>
            <w:r>
              <w:rPr>
                <w:rFonts w:ascii="Times New Roman" w:hAnsi="Times New Roman"/>
                <w:b/>
                <w:sz w:val="20"/>
              </w:rPr>
              <w:t>Prüfbedarf</w:t>
            </w:r>
          </w:p>
        </w:tc>
      </w:tr>
      <w:tr>
        <w:tc>
          <w:tcPr>
            <w:tcW w:type="dxa" w:w="2268"/>
          </w:tcPr>
          <w:p>
            <w:r>
              <w:rPr>
                <w:rFonts w:ascii="Times New Roman" w:hAnsi="Times New Roman"/>
                <w:sz w:val="20"/>
              </w:rPr>
              <w:t>Steuerlager-Bewilligung (LPG)</w:t>
            </w:r>
          </w:p>
        </w:tc>
        <w:tc>
          <w:tcPr>
            <w:tcW w:type="dxa" w:w="2268"/>
          </w:tcPr>
          <w:p>
            <w:r>
              <w:rPr>
                <w:rFonts w:ascii="Times New Roman" w:hAnsi="Times New Roman"/>
                <w:sz w:val="20"/>
              </w:rPr>
              <w:t>Nicht bekannt / unklar</w:t>
            </w:r>
          </w:p>
        </w:tc>
        <w:tc>
          <w:tcPr>
            <w:tcW w:type="dxa" w:w="2268"/>
          </w:tcPr>
          <w:p>
            <w:r>
              <w:rPr>
                <w:rFonts w:ascii="Times New Roman" w:hAnsi="Times New Roman"/>
                <w:sz w:val="20"/>
              </w:rPr>
              <w:t>Erforderlich</w:t>
            </w:r>
          </w:p>
        </w:tc>
        <w:tc>
          <w:tcPr>
            <w:tcW w:type="dxa" w:w="2268"/>
          </w:tcPr>
          <w:p>
            <w:r>
              <w:rPr>
                <w:rFonts w:ascii="Times New Roman" w:hAnsi="Times New Roman"/>
                <w:b/>
                <w:sz w:val="20"/>
              </w:rPr>
              <w:t>Prüfbedarf</w:t>
            </w:r>
          </w:p>
        </w:tc>
      </w:tr>
      <w:tr>
        <w:tc>
          <w:tcPr>
            <w:tcW w:type="dxa" w:w="2268"/>
          </w:tcPr>
          <w:p>
            <w:r>
              <w:rPr>
                <w:rFonts w:ascii="Times New Roman" w:hAnsi="Times New Roman"/>
                <w:sz w:val="20"/>
              </w:rPr>
              <w:t>Hauptzollamt-Zuständigkeit</w:t>
            </w:r>
          </w:p>
        </w:tc>
        <w:tc>
          <w:tcPr>
            <w:tcW w:type="dxa" w:w="2268"/>
          </w:tcPr>
          <w:p>
            <w:r>
              <w:rPr>
                <w:rFonts w:ascii="Times New Roman" w:hAnsi="Times New Roman"/>
                <w:sz w:val="20"/>
              </w:rPr>
              <w:t>HZA Stuttgart, Ref. Verbrauchsteuern</w:t>
            </w:r>
          </w:p>
        </w:tc>
        <w:tc>
          <w:tcPr>
            <w:tcW w:type="dxa" w:w="2268"/>
          </w:tcPr>
          <w:p>
            <w:r>
              <w:rPr>
                <w:rFonts w:ascii="Times New Roman" w:hAnsi="Times New Roman"/>
                <w:sz w:val="20"/>
              </w:rPr>
              <w:t>—</w:t>
            </w:r>
          </w:p>
        </w:tc>
        <w:tc>
          <w:tcPr>
            <w:tcW w:type="dxa" w:w="2268"/>
          </w:tcPr>
          <w:p>
            <w:r>
              <w:rPr>
                <w:rFonts w:ascii="Times New Roman" w:hAnsi="Times New Roman"/>
                <w:sz w:val="20"/>
              </w:rPr>
              <w:t>Zu klären</w:t>
            </w:r>
          </w:p>
        </w:tc>
      </w:tr>
    </w:tbl>
    <w:p>
      <w:pPr>
        <w:jc w:val="left"/>
      </w:pPr>
      <w:r>
        <w:rPr>
          <w:b/>
        </w:rPr>
        <w:t>Kernproblem:</w:t>
      </w:r>
      <w:r>
        <w:t xml:space="preserve"> Für den Unterflur-Lagertank A (Diesel, 10.000 l) und den Überflur-Lagertank B (Heizöl, 25.000 l) besteht aufgrund der Lagermengen eine Bewilligungspflicht für ein Steuerlager. Die interne Dokumentation enthält keinen Nachweis einer bestehenden Steuerlager-Bewilligung. Damit besteht das Risiko, dass das Unternehmen ohne behördliche Zulassung ein faktisches Steuerlager betreibt.</w:t>
      </w:r>
    </w:p>
    <w:p/>
    <w:p>
      <w:pPr>
        <w:pStyle w:val="Heading2"/>
      </w:pPr>
      <w:r>
        <w:rPr>
          <w:rFonts w:ascii="Times New Roman" w:hAnsi="Times New Roman"/>
        </w:rPr>
        <w:t>3. Steuerliche Entlastungsansprüche</w:t>
      </w:r>
    </w:p>
    <w:p>
      <w:pPr>
        <w:pStyle w:val="Heading3"/>
      </w:pPr>
      <w:r>
        <w:rPr>
          <w:rFonts w:ascii="Times New Roman" w:hAnsi="Times New Roman"/>
        </w:rPr>
        <w:t>3.1 Entlastung nach § 51 EnergieStG (betrieblicher Verwendungszweck – Strom)</w:t>
      </w:r>
    </w:p>
    <w:p>
      <w:pPr>
        <w:jc w:val="left"/>
      </w:pPr>
      <w:r>
        <w:t>Energieerzeugnisse, die in Kraft-Wärme-Kopplungs-Anlagen oder zur Stromerzeugung eingesetzt werden, können nach § 53 EnergieStG entlastet werden. Das Notstromaggregat (Dieselbetrieb) fällt unter § 53a EnergieStG (Entlastung für hocheffiziente KWK-Anlagen), sofern die Effizienzanforderungen erfüllt sind.</w:t>
      </w:r>
    </w:p>
    <w:p>
      <w:pPr>
        <w:jc w:val="left"/>
      </w:pPr>
      <w:r>
        <w:rPr>
          <w:b/>
        </w:rPr>
        <w:t>Status:</w:t>
      </w:r>
      <w:r>
        <w:t xml:space="preserve"> Die Entlastungsanträge für das Jahr 2025 wurden nach Auskunft der Steuerabteilung verspätet vorbereitet. Die reguläre Antragsfrist endet am </w:t>
      </w:r>
      <w:r>
        <w:rPr>
          <w:b/>
        </w:rPr>
        <w:t>31. Dezember</w:t>
      </w:r>
      <w:r>
        <w:t xml:space="preserve"> des Folgejahres (§ 56 EnergieStV). Für 2025 (Entlastungsjahr) war Antragsfrist der </w:t>
      </w:r>
      <w:r>
        <w:rPr>
          <w:b/>
        </w:rPr>
        <w:t>31.12.2026</w:t>
      </w:r>
      <w:r>
        <w:t xml:space="preserve"> – dieser Termin ist noch offen, aber es bestehen erhebliche Dokumentationsrückstände.</w:t>
      </w:r>
    </w:p>
    <w:p>
      <w:pPr>
        <w:pStyle w:val="Heading3"/>
      </w:pPr>
      <w:r>
        <w:rPr>
          <w:rFonts w:ascii="Times New Roman" w:hAnsi="Times New Roman"/>
        </w:rPr>
        <w:t>3.2 Entlastung nach § 54 EnergieStG (Herstellerprivileg – Prozesstechnologie)</w:t>
      </w:r>
    </w:p>
    <w:p>
      <w:pPr>
        <w:jc w:val="left"/>
      </w:pPr>
      <w:r>
        <w:t>Energieerzeugnisse, die in Prozessen der Metallerzeugung und -bearbeitung (§ 51 EnergieStG Nr. 1) eingesetzt werden, sind von der Energiesteuer entlastet. Das Flüssiggas (LPG) für Hochtemperaturprüfstände könnte als Prozessenergie für "maschinelle Wärmebehandlung von Metallen" unter § 51 Abs. 1 Nr. 1 lit. d EnergieStG fallen, wenn der Prüfstand der Qualitätskontrolle metallischer Bauteile dient.</w:t>
      </w:r>
    </w:p>
    <w:p>
      <w:pPr>
        <w:jc w:val="left"/>
      </w:pPr>
      <w:r>
        <w:rPr>
          <w:b/>
        </w:rPr>
        <w:t>Erforderliche Nachweise für Entlastungsantrag:</w:t>
      </w:r>
    </w:p>
    <w:p>
      <w:pPr>
        <w:pStyle w:val="ListBullet"/>
      </w:pPr>
      <w:r>
        <w:t>Beschreibung des Verwendungsverfahrens (technische Dokumentation)</w:t>
      </w:r>
    </w:p>
    <w:p>
      <w:pPr>
        <w:pStyle w:val="ListBullet"/>
      </w:pPr>
      <w:r>
        <w:t>Mengenaufzeichnungen nach § 62 EnergieStV</w:t>
      </w:r>
    </w:p>
    <w:p>
      <w:pPr>
        <w:pStyle w:val="ListBullet"/>
      </w:pPr>
      <w:r>
        <w:t>Nachweis des Einsatzes ausschließlich für begünstigte Zwecke</w:t>
      </w:r>
    </w:p>
    <w:p>
      <w:pPr>
        <w:pStyle w:val="Heading3"/>
      </w:pPr>
      <w:r>
        <w:rPr>
          <w:rFonts w:ascii="Times New Roman" w:hAnsi="Times New Roman"/>
        </w:rPr>
        <w:t>3.3 Rückblick und Verlustberechnung (2025)</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Energieerzeugnis</w:t>
            </w:r>
          </w:p>
        </w:tc>
        <w:tc>
          <w:tcPr>
            <w:tcW w:type="dxa" w:w="1512"/>
          </w:tcPr>
          <w:p>
            <w:r>
              <w:rPr>
                <w:rFonts w:ascii="Times New Roman" w:hAnsi="Times New Roman"/>
                <w:b/>
                <w:sz w:val="20"/>
              </w:rPr>
              <w:t>Verbrauch 2025</w:t>
            </w:r>
          </w:p>
        </w:tc>
        <w:tc>
          <w:tcPr>
            <w:tcW w:type="dxa" w:w="1512"/>
          </w:tcPr>
          <w:p>
            <w:r>
              <w:rPr>
                <w:rFonts w:ascii="Times New Roman" w:hAnsi="Times New Roman"/>
                <w:b/>
                <w:sz w:val="20"/>
              </w:rPr>
              <w:t>Steuersatz</w:t>
            </w:r>
          </w:p>
        </w:tc>
        <w:tc>
          <w:tcPr>
            <w:tcW w:type="dxa" w:w="1512"/>
          </w:tcPr>
          <w:p>
            <w:r>
              <w:rPr>
                <w:rFonts w:ascii="Times New Roman" w:hAnsi="Times New Roman"/>
                <w:b/>
                <w:sz w:val="20"/>
              </w:rPr>
              <w:t>Steuerbelastung brutto</w:t>
            </w:r>
          </w:p>
        </w:tc>
        <w:tc>
          <w:tcPr>
            <w:tcW w:type="dxa" w:w="1512"/>
          </w:tcPr>
          <w:p>
            <w:r>
              <w:rPr>
                <w:rFonts w:ascii="Times New Roman" w:hAnsi="Times New Roman"/>
                <w:b/>
                <w:sz w:val="20"/>
              </w:rPr>
              <w:t>Entlastungsanspruch (gesch.)</w:t>
            </w:r>
          </w:p>
        </w:tc>
        <w:tc>
          <w:tcPr>
            <w:tcW w:type="dxa" w:w="1512"/>
          </w:tcPr>
          <w:p>
            <w:r>
              <w:rPr>
                <w:rFonts w:ascii="Times New Roman" w:hAnsi="Times New Roman"/>
                <w:b/>
                <w:sz w:val="20"/>
              </w:rPr>
              <w:t>Verspätungs-Risiko</w:t>
            </w:r>
          </w:p>
        </w:tc>
      </w:tr>
      <w:tr>
        <w:tc>
          <w:tcPr>
            <w:tcW w:type="dxa" w:w="1512"/>
          </w:tcPr>
          <w:p>
            <w:r>
              <w:rPr>
                <w:rFonts w:ascii="Times New Roman" w:hAnsi="Times New Roman"/>
                <w:sz w:val="20"/>
              </w:rPr>
              <w:t>Diesel (HU-Tank A, Notstrom)</w:t>
            </w:r>
          </w:p>
        </w:tc>
        <w:tc>
          <w:tcPr>
            <w:tcW w:type="dxa" w:w="1512"/>
          </w:tcPr>
          <w:p>
            <w:r>
              <w:rPr>
                <w:rFonts w:ascii="Times New Roman" w:hAnsi="Times New Roman"/>
                <w:sz w:val="20"/>
              </w:rPr>
              <w:t>ca. 15.000 l</w:t>
            </w:r>
          </w:p>
        </w:tc>
        <w:tc>
          <w:tcPr>
            <w:tcW w:type="dxa" w:w="1512"/>
          </w:tcPr>
          <w:p>
            <w:r>
              <w:rPr>
                <w:rFonts w:ascii="Times New Roman" w:hAnsi="Times New Roman"/>
                <w:sz w:val="20"/>
              </w:rPr>
              <w:t>47,04 ct/l</w:t>
            </w:r>
          </w:p>
        </w:tc>
        <w:tc>
          <w:tcPr>
            <w:tcW w:type="dxa" w:w="1512"/>
          </w:tcPr>
          <w:p>
            <w:r>
              <w:rPr>
                <w:rFonts w:ascii="Times New Roman" w:hAnsi="Times New Roman"/>
                <w:sz w:val="20"/>
              </w:rPr>
              <w:t>7.056 EUR</w:t>
            </w:r>
          </w:p>
        </w:tc>
        <w:tc>
          <w:tcPr>
            <w:tcW w:type="dxa" w:w="1512"/>
          </w:tcPr>
          <w:p>
            <w:r>
              <w:rPr>
                <w:rFonts w:ascii="Times New Roman" w:hAnsi="Times New Roman"/>
                <w:sz w:val="20"/>
              </w:rPr>
              <w:t>ca. 7.056 EUR (§ 53a)</w:t>
            </w:r>
          </w:p>
        </w:tc>
        <w:tc>
          <w:tcPr>
            <w:tcW w:type="dxa" w:w="1512"/>
          </w:tcPr>
          <w:p>
            <w:r>
              <w:rPr>
                <w:rFonts w:ascii="Times New Roman" w:hAnsi="Times New Roman"/>
                <w:sz w:val="20"/>
              </w:rPr>
              <w:t>Antrag fehlt</w:t>
            </w:r>
          </w:p>
        </w:tc>
      </w:tr>
      <w:tr>
        <w:tc>
          <w:tcPr>
            <w:tcW w:type="dxa" w:w="1512"/>
          </w:tcPr>
          <w:p>
            <w:r>
              <w:rPr>
                <w:rFonts w:ascii="Times New Roman" w:hAnsi="Times New Roman"/>
                <w:sz w:val="20"/>
              </w:rPr>
              <w:t>Heizöl (Werkhalle)</w:t>
            </w:r>
          </w:p>
        </w:tc>
        <w:tc>
          <w:tcPr>
            <w:tcW w:type="dxa" w:w="1512"/>
          </w:tcPr>
          <w:p>
            <w:r>
              <w:rPr>
                <w:rFonts w:ascii="Times New Roman" w:hAnsi="Times New Roman"/>
                <w:sz w:val="20"/>
              </w:rPr>
              <w:t>ca. 42.000 l</w:t>
            </w:r>
          </w:p>
        </w:tc>
        <w:tc>
          <w:tcPr>
            <w:tcW w:type="dxa" w:w="1512"/>
          </w:tcPr>
          <w:p>
            <w:r>
              <w:rPr>
                <w:rFonts w:ascii="Times New Roman" w:hAnsi="Times New Roman"/>
                <w:sz w:val="20"/>
              </w:rPr>
              <w:t>6,14 ct/l</w:t>
            </w:r>
          </w:p>
        </w:tc>
        <w:tc>
          <w:tcPr>
            <w:tcW w:type="dxa" w:w="1512"/>
          </w:tcPr>
          <w:p>
            <w:r>
              <w:rPr>
                <w:rFonts w:ascii="Times New Roman" w:hAnsi="Times New Roman"/>
                <w:sz w:val="20"/>
              </w:rPr>
              <w:t>2.579 EUR</w:t>
            </w:r>
          </w:p>
        </w:tc>
        <w:tc>
          <w:tcPr>
            <w:tcW w:type="dxa" w:w="1512"/>
          </w:tcPr>
          <w:p>
            <w:r>
              <w:rPr>
                <w:rFonts w:ascii="Times New Roman" w:hAnsi="Times New Roman"/>
                <w:sz w:val="20"/>
              </w:rPr>
              <w:t>0 EUR (Raumheizung nicht begünstigt)</w:t>
            </w:r>
          </w:p>
        </w:tc>
        <w:tc>
          <w:tcPr>
            <w:tcW w:type="dxa" w:w="1512"/>
          </w:tcPr>
          <w:p>
            <w:r>
              <w:rPr>
                <w:rFonts w:ascii="Times New Roman" w:hAnsi="Times New Roman"/>
                <w:sz w:val="20"/>
              </w:rPr>
              <w:t>—</w:t>
            </w:r>
          </w:p>
        </w:tc>
      </w:tr>
      <w:tr>
        <w:tc>
          <w:tcPr>
            <w:tcW w:type="dxa" w:w="1512"/>
          </w:tcPr>
          <w:p>
            <w:r>
              <w:rPr>
                <w:rFonts w:ascii="Times New Roman" w:hAnsi="Times New Roman"/>
                <w:sz w:val="20"/>
              </w:rPr>
              <w:t>LPG (Prüfstände)</w:t>
            </w:r>
          </w:p>
        </w:tc>
        <w:tc>
          <w:tcPr>
            <w:tcW w:type="dxa" w:w="1512"/>
          </w:tcPr>
          <w:p>
            <w:r>
              <w:rPr>
                <w:rFonts w:ascii="Times New Roman" w:hAnsi="Times New Roman"/>
                <w:sz w:val="20"/>
              </w:rPr>
              <w:t>ca. 10.000 l</w:t>
            </w:r>
          </w:p>
        </w:tc>
        <w:tc>
          <w:tcPr>
            <w:tcW w:type="dxa" w:w="1512"/>
          </w:tcPr>
          <w:p>
            <w:r>
              <w:rPr>
                <w:rFonts w:ascii="Times New Roman" w:hAnsi="Times New Roman"/>
                <w:sz w:val="20"/>
              </w:rPr>
              <w:t>18,03 ct/kg</w:t>
            </w:r>
          </w:p>
        </w:tc>
        <w:tc>
          <w:tcPr>
            <w:tcW w:type="dxa" w:w="1512"/>
          </w:tcPr>
          <w:p>
            <w:r>
              <w:rPr>
                <w:rFonts w:ascii="Times New Roman" w:hAnsi="Times New Roman"/>
                <w:sz w:val="20"/>
              </w:rPr>
              <w:t>1.803 EUR</w:t>
            </w:r>
          </w:p>
        </w:tc>
        <w:tc>
          <w:tcPr>
            <w:tcW w:type="dxa" w:w="1512"/>
          </w:tcPr>
          <w:p>
            <w:r>
              <w:rPr>
                <w:rFonts w:ascii="Times New Roman" w:hAnsi="Times New Roman"/>
                <w:sz w:val="20"/>
              </w:rPr>
              <w:t>ca. 1.803 EUR (§ 51)</w:t>
            </w:r>
          </w:p>
        </w:tc>
        <w:tc>
          <w:tcPr>
            <w:tcW w:type="dxa" w:w="1512"/>
          </w:tcPr>
          <w:p>
            <w:r>
              <w:rPr>
                <w:rFonts w:ascii="Times New Roman" w:hAnsi="Times New Roman"/>
                <w:sz w:val="20"/>
              </w:rPr>
              <w:t>Antrag fehlt</w:t>
            </w:r>
          </w:p>
        </w:tc>
      </w:tr>
      <w:tr>
        <w:tc>
          <w:tcPr>
            <w:tcW w:type="dxa" w:w="1512"/>
          </w:tcPr>
          <w:p>
            <w:r>
              <w:rPr>
                <w:rFonts w:ascii="Times New Roman" w:hAnsi="Times New Roman"/>
                <w:b/>
                <w:sz w:val="20"/>
              </w:rPr>
              <w:t>Gesamt</w:t>
            </w:r>
          </w:p>
        </w:tc>
        <w:tc>
          <w:tcPr>
            <w:tcW w:type="dxa" w:w="1512"/>
          </w:tcPr>
          <w:p/>
        </w:tc>
        <w:tc>
          <w:tcPr>
            <w:tcW w:type="dxa" w:w="1512"/>
          </w:tcPr>
          <w:p/>
        </w:tc>
        <w:tc>
          <w:tcPr>
            <w:tcW w:type="dxa" w:w="1512"/>
          </w:tcPr>
          <w:p>
            <w:r>
              <w:rPr>
                <w:rFonts w:ascii="Times New Roman" w:hAnsi="Times New Roman"/>
                <w:b/>
                <w:sz w:val="20"/>
              </w:rPr>
              <w:t>11.438 EUR</w:t>
            </w:r>
          </w:p>
        </w:tc>
        <w:tc>
          <w:tcPr>
            <w:tcW w:type="dxa" w:w="1512"/>
          </w:tcPr>
          <w:p>
            <w:r>
              <w:rPr>
                <w:rFonts w:ascii="Times New Roman" w:hAnsi="Times New Roman"/>
                <w:b/>
                <w:sz w:val="20"/>
              </w:rPr>
              <w:t>ca. 8.859 EUR</w:t>
            </w:r>
          </w:p>
        </w:tc>
        <w:tc>
          <w:tcPr>
            <w:tcW w:type="dxa" w:w="1512"/>
          </w:tcPr>
          <w:p/>
        </w:tc>
      </w:tr>
    </w:tbl>
    <w:p>
      <w:pPr>
        <w:jc w:val="left"/>
      </w:pPr>
      <w:r>
        <w:rPr>
          <w:b/>
        </w:rPr>
        <w:t>Risiko:</w:t>
      </w:r>
      <w:r>
        <w:t xml:space="preserve"> Versäumter Antrag für 2025 bedeutet Verlust von ca. </w:t>
      </w:r>
      <w:r>
        <w:rPr>
          <w:b/>
        </w:rPr>
        <w:t>8.859 EUR</w:t>
      </w:r>
      <w:r>
        <w:t xml:space="preserve"> an Steuerentlastungen, sofern die Frist 31.12.2026 nicht genutzt wird. Die Rückstandsdokumentation ist vorrangig aufzuarbeiten.</w:t>
      </w:r>
    </w:p>
    <w:p/>
    <w:p>
      <w:pPr>
        <w:pStyle w:val="Heading2"/>
      </w:pPr>
      <w:r>
        <w:rPr>
          <w:rFonts w:ascii="Times New Roman" w:hAnsi="Times New Roman"/>
        </w:rPr>
        <w:t>4. Prüfungsrisiken durch das Hauptzollamt</w:t>
      </w:r>
    </w:p>
    <w:p>
      <w:pPr>
        <w:jc w:val="left"/>
      </w:pPr>
      <w:r>
        <w:t>Das Hauptzollamt Stuttgart hat bereits eine allgemeine Zollprüfung angekündigt (vgl. Akte GM-HZA-2026-001). Im Rahmen einer Verbrauchsteuerprüfung wären folgende Feststellungspunkte zu erwarten:</w:t>
      </w:r>
    </w:p>
    <w:p>
      <w:pPr>
        <w:pStyle w:val="ListNumber"/>
      </w:pPr>
      <w:r>
        <w:rPr>
          <w:b/>
        </w:rPr>
        <w:t>Steuerlager ohne Bewilligung:</w:t>
      </w:r>
      <w:r>
        <w:t xml:space="preserve"> Sofern keine Bewilligung vorliegt, droht eine Nachforderung der Energiesteuer ohne die Steueraussetzungsvorteile sowie ggf. ein Bußgeld nach § 381 AO.</w:t>
      </w:r>
    </w:p>
    <w:p>
      <w:pPr>
        <w:pStyle w:val="ListNumber"/>
      </w:pPr>
      <w:r>
        <w:rPr>
          <w:b/>
        </w:rPr>
        <w:t>Fehlende Mengenaufzeichnungen:</w:t>
      </w:r>
      <w:r>
        <w:t xml:space="preserve"> §§ 60–65 EnergieStV verlangen lückenlose Zu- und Abgangsaufzeichnungen für alle Energieerzeugnisse im Steuerlager. Fehlende Aufzeichnungen führen zur Schätzung (§ 162 AO).</w:t>
      </w:r>
    </w:p>
    <w:p>
      <w:pPr>
        <w:pStyle w:val="ListNumber"/>
      </w:pPr>
      <w:r>
        <w:rPr>
          <w:b/>
        </w:rPr>
        <w:t>Verspätete Entlastungsanträge:</w:t>
      </w:r>
      <w:r>
        <w:t xml:space="preserve"> Das HZA wird prüfen, ob die Antragsfristen eingehalten wurden; eine Wiedereinsetzung in den vorigen Stand (§ 110 AO) ist nur bei unverschuldeter Fristversäumnis möglich.</w:t>
      </w:r>
    </w:p>
    <w:p/>
    <w:p>
      <w:pPr>
        <w:pStyle w:val="Heading2"/>
      </w:pPr>
      <w:r>
        <w:rPr>
          <w:rFonts w:ascii="Times New Roman" w:hAnsi="Times New Roman"/>
        </w:rPr>
        <w:t>5. Empfohlene Maßnahmen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Priorität</w:t>
            </w:r>
          </w:p>
        </w:tc>
        <w:tc>
          <w:tcPr>
            <w:tcW w:type="dxa" w:w="2268"/>
          </w:tcPr>
          <w:p>
            <w:r>
              <w:rPr>
                <w:rFonts w:ascii="Times New Roman" w:hAnsi="Times New Roman"/>
                <w:b/>
                <w:sz w:val="20"/>
              </w:rPr>
              <w:t>Maßnahme</w:t>
            </w:r>
          </w:p>
        </w:tc>
        <w:tc>
          <w:tcPr>
            <w:tcW w:type="dxa" w:w="2268"/>
          </w:tcPr>
          <w:p>
            <w:r>
              <w:rPr>
                <w:rFonts w:ascii="Times New Roman" w:hAnsi="Times New Roman"/>
                <w:b/>
                <w:sz w:val="20"/>
              </w:rPr>
              <w:t>Frist</w:t>
            </w:r>
          </w:p>
        </w:tc>
        <w:tc>
          <w:tcPr>
            <w:tcW w:type="dxa" w:w="2268"/>
          </w:tcPr>
          <w:p>
            <w:r>
              <w:rPr>
                <w:rFonts w:ascii="Times New Roman" w:hAnsi="Times New Roman"/>
                <w:b/>
                <w:sz w:val="20"/>
              </w:rPr>
              <w:t>Verantwortlich</w:t>
            </w:r>
          </w:p>
        </w:tc>
      </w:tr>
      <w:tr>
        <w:tc>
          <w:tcPr>
            <w:tcW w:type="dxa" w:w="2268"/>
          </w:tcPr>
          <w:p>
            <w:r>
              <w:rPr>
                <w:rFonts w:ascii="Times New Roman" w:hAnsi="Times New Roman"/>
                <w:sz w:val="20"/>
              </w:rPr>
              <w:t>1</w:t>
            </w:r>
          </w:p>
        </w:tc>
        <w:tc>
          <w:tcPr>
            <w:tcW w:type="dxa" w:w="2268"/>
          </w:tcPr>
          <w:p>
            <w:r>
              <w:rPr>
                <w:rFonts w:ascii="Times New Roman" w:hAnsi="Times New Roman"/>
                <w:sz w:val="20"/>
              </w:rPr>
              <w:t>Prüfung, ob Steuerlager-Bewilligung HZA Stuttgart vorliegt</w:t>
            </w:r>
          </w:p>
        </w:tc>
        <w:tc>
          <w:tcPr>
            <w:tcW w:type="dxa" w:w="2268"/>
          </w:tcPr>
          <w:p>
            <w:r>
              <w:rPr>
                <w:rFonts w:ascii="Times New Roman" w:hAnsi="Times New Roman"/>
                <w:sz w:val="20"/>
              </w:rPr>
              <w:t>Sofort</w:t>
            </w:r>
          </w:p>
        </w:tc>
        <w:tc>
          <w:tcPr>
            <w:tcW w:type="dxa" w:w="2268"/>
          </w:tcPr>
          <w:p>
            <w:r>
              <w:rPr>
                <w:rFonts w:ascii="Times New Roman" w:hAnsi="Times New Roman"/>
                <w:sz w:val="20"/>
              </w:rPr>
              <w:t>Steuerabteilung</w:t>
            </w:r>
          </w:p>
        </w:tc>
      </w:tr>
      <w:tr>
        <w:tc>
          <w:tcPr>
            <w:tcW w:type="dxa" w:w="2268"/>
          </w:tcPr>
          <w:p>
            <w:r>
              <w:rPr>
                <w:rFonts w:ascii="Times New Roman" w:hAnsi="Times New Roman"/>
                <w:sz w:val="20"/>
              </w:rPr>
              <w:t>1</w:t>
            </w:r>
          </w:p>
        </w:tc>
        <w:tc>
          <w:tcPr>
            <w:tcW w:type="dxa" w:w="2268"/>
          </w:tcPr>
          <w:p>
            <w:r>
              <w:rPr>
                <w:rFonts w:ascii="Times New Roman" w:hAnsi="Times New Roman"/>
                <w:sz w:val="20"/>
              </w:rPr>
              <w:t>Falls keine Bewilligung: Antrag auf nachträgliche Steuerlager-Bewilligung (§ 7 EnergieStG)</w:t>
            </w:r>
          </w:p>
        </w:tc>
        <w:tc>
          <w:tcPr>
            <w:tcW w:type="dxa" w:w="2268"/>
          </w:tcPr>
          <w:p>
            <w:r>
              <w:rPr>
                <w:rFonts w:ascii="Times New Roman" w:hAnsi="Times New Roman"/>
                <w:sz w:val="20"/>
              </w:rPr>
              <w:t>30.04.2026</w:t>
            </w:r>
          </w:p>
        </w:tc>
        <w:tc>
          <w:tcPr>
            <w:tcW w:type="dxa" w:w="2268"/>
          </w:tcPr>
          <w:p>
            <w:r>
              <w:rPr>
                <w:rFonts w:ascii="Times New Roman" w:hAnsi="Times New Roman"/>
                <w:sz w:val="20"/>
              </w:rPr>
              <w:t>Zollbeauftragter + Steuerberater</w:t>
            </w:r>
          </w:p>
        </w:tc>
      </w:tr>
      <w:tr>
        <w:tc>
          <w:tcPr>
            <w:tcW w:type="dxa" w:w="2268"/>
          </w:tcPr>
          <w:p>
            <w:r>
              <w:rPr>
                <w:rFonts w:ascii="Times New Roman" w:hAnsi="Times New Roman"/>
                <w:sz w:val="20"/>
              </w:rPr>
              <w:t>2</w:t>
            </w:r>
          </w:p>
        </w:tc>
        <w:tc>
          <w:tcPr>
            <w:tcW w:type="dxa" w:w="2268"/>
          </w:tcPr>
          <w:p>
            <w:r>
              <w:rPr>
                <w:rFonts w:ascii="Times New Roman" w:hAnsi="Times New Roman"/>
                <w:sz w:val="20"/>
              </w:rPr>
              <w:t>Mengenaufzeichnungen 2024 und 2025 rekonstruieren</w:t>
            </w:r>
          </w:p>
        </w:tc>
        <w:tc>
          <w:tcPr>
            <w:tcW w:type="dxa" w:w="2268"/>
          </w:tcPr>
          <w:p>
            <w:r>
              <w:rPr>
                <w:rFonts w:ascii="Times New Roman" w:hAnsi="Times New Roman"/>
                <w:sz w:val="20"/>
              </w:rPr>
              <w:t>15.05.2026</w:t>
            </w:r>
          </w:p>
        </w:tc>
        <w:tc>
          <w:tcPr>
            <w:tcW w:type="dxa" w:w="2268"/>
          </w:tcPr>
          <w:p>
            <w:r>
              <w:rPr>
                <w:rFonts w:ascii="Times New Roman" w:hAnsi="Times New Roman"/>
                <w:sz w:val="20"/>
              </w:rPr>
              <w:t>Haustechnik + Steuerabteilung</w:t>
            </w:r>
          </w:p>
        </w:tc>
      </w:tr>
      <w:tr>
        <w:tc>
          <w:tcPr>
            <w:tcW w:type="dxa" w:w="2268"/>
          </w:tcPr>
          <w:p>
            <w:r>
              <w:rPr>
                <w:rFonts w:ascii="Times New Roman" w:hAnsi="Times New Roman"/>
                <w:sz w:val="20"/>
              </w:rPr>
              <w:t>2</w:t>
            </w:r>
          </w:p>
        </w:tc>
        <w:tc>
          <w:tcPr>
            <w:tcW w:type="dxa" w:w="2268"/>
          </w:tcPr>
          <w:p>
            <w:r>
              <w:rPr>
                <w:rFonts w:ascii="Times New Roman" w:hAnsi="Times New Roman"/>
                <w:sz w:val="20"/>
              </w:rPr>
              <w:t>Entlastungsanträge 2025 (§ 53a, § 51 EnergieStG) fristgerecht bis 31.12.2026 einreichen</w:t>
            </w:r>
          </w:p>
        </w:tc>
        <w:tc>
          <w:tcPr>
            <w:tcW w:type="dxa" w:w="2268"/>
          </w:tcPr>
          <w:p>
            <w:r>
              <w:rPr>
                <w:rFonts w:ascii="Times New Roman" w:hAnsi="Times New Roman"/>
                <w:sz w:val="20"/>
              </w:rPr>
              <w:t>30.06.2026</w:t>
            </w:r>
          </w:p>
        </w:tc>
        <w:tc>
          <w:tcPr>
            <w:tcW w:type="dxa" w:w="2268"/>
          </w:tcPr>
          <w:p>
            <w:r>
              <w:rPr>
                <w:rFonts w:ascii="Times New Roman" w:hAnsi="Times New Roman"/>
                <w:sz w:val="20"/>
              </w:rPr>
              <w:t>Steuerberater</w:t>
            </w:r>
          </w:p>
        </w:tc>
      </w:tr>
      <w:tr>
        <w:tc>
          <w:tcPr>
            <w:tcW w:type="dxa" w:w="2268"/>
          </w:tcPr>
          <w:p>
            <w:r>
              <w:rPr>
                <w:rFonts w:ascii="Times New Roman" w:hAnsi="Times New Roman"/>
                <w:sz w:val="20"/>
              </w:rPr>
              <w:t>3</w:t>
            </w:r>
          </w:p>
        </w:tc>
        <w:tc>
          <w:tcPr>
            <w:tcW w:type="dxa" w:w="2268"/>
          </w:tcPr>
          <w:p>
            <w:r>
              <w:rPr>
                <w:rFonts w:ascii="Times New Roman" w:hAnsi="Times New Roman"/>
                <w:sz w:val="20"/>
              </w:rPr>
              <w:t>Technische Dokumentation Prüfstände für LPG-Entlastungsnachweis erstellen</w:t>
            </w:r>
          </w:p>
        </w:tc>
        <w:tc>
          <w:tcPr>
            <w:tcW w:type="dxa" w:w="2268"/>
          </w:tcPr>
          <w:p>
            <w:r>
              <w:rPr>
                <w:rFonts w:ascii="Times New Roman" w:hAnsi="Times New Roman"/>
                <w:sz w:val="20"/>
              </w:rPr>
              <w:t>30.05.2026</w:t>
            </w:r>
          </w:p>
        </w:tc>
        <w:tc>
          <w:tcPr>
            <w:tcW w:type="dxa" w:w="2268"/>
          </w:tcPr>
          <w:p>
            <w:r>
              <w:rPr>
                <w:rFonts w:ascii="Times New Roman" w:hAnsi="Times New Roman"/>
                <w:sz w:val="20"/>
              </w:rPr>
              <w:t>Technikteam</w:t>
            </w:r>
          </w:p>
        </w:tc>
      </w:tr>
      <w:tr>
        <w:tc>
          <w:tcPr>
            <w:tcW w:type="dxa" w:w="2268"/>
          </w:tcPr>
          <w:p>
            <w:r>
              <w:rPr>
                <w:rFonts w:ascii="Times New Roman" w:hAnsi="Times New Roman"/>
                <w:sz w:val="20"/>
              </w:rPr>
              <w:t>3</w:t>
            </w:r>
          </w:p>
        </w:tc>
        <w:tc>
          <w:tcPr>
            <w:tcW w:type="dxa" w:w="2268"/>
          </w:tcPr>
          <w:p>
            <w:r>
              <w:rPr>
                <w:rFonts w:ascii="Times New Roman" w:hAnsi="Times New Roman"/>
                <w:sz w:val="20"/>
              </w:rPr>
              <w:t>HZA-Prüfungsbegleitung vorbereiten (Unterlagen für Verbrauchsteuerprüfung)</w:t>
            </w:r>
          </w:p>
        </w:tc>
        <w:tc>
          <w:tcPr>
            <w:tcW w:type="dxa" w:w="2268"/>
          </w:tcPr>
          <w:p>
            <w:r>
              <w:rPr>
                <w:rFonts w:ascii="Times New Roman" w:hAnsi="Times New Roman"/>
                <w:sz w:val="20"/>
              </w:rPr>
              <w:t>fortlaufend</w:t>
            </w:r>
          </w:p>
        </w:tc>
        <w:tc>
          <w:tcPr>
            <w:tcW w:type="dxa" w:w="2268"/>
          </w:tcPr>
          <w:p>
            <w:r>
              <w:rPr>
                <w:rFonts w:ascii="Times New Roman" w:hAnsi="Times New Roman"/>
                <w:sz w:val="20"/>
              </w:rPr>
              <w:t>Zollbeauftragter</w:t>
            </w:r>
          </w:p>
        </w:tc>
      </w:tr>
    </w:tbl>
    <w:p/>
    <w:p>
      <w:pPr>
        <w:pStyle w:val="Heading2"/>
      </w:pPr>
      <w:r>
        <w:rPr>
          <w:rFonts w:ascii="Times New Roman" w:hAnsi="Times New Roman"/>
        </w:rPr>
        <w:t>6. Zusammenfassung</w:t>
      </w:r>
    </w:p>
    <w:p>
      <w:pPr>
        <w:jc w:val="left"/>
      </w:pPr>
      <w:r>
        <w:t>Die Lagerung von Energieerzeugnissen in Mengen deutlich oberhalb der gesetzlichen Freimengen ohne nachgewiesene Steuerlager-Bewilligung stellt ein erhebliches verbrauchsteuerliches Risiko dar. Zuzüglich der verspätet vorbereiteten Entlastungsanträge für 2025 summiert sich das potenzielle Korrektur- und Bußgeldrisiko auf einen niedrigen fünfstelligen Betrag. Mit Blick auf die laufende HZA-Prüfung ist eine unverzügliche interne Klärung und proaktive Kontaktaufnahme mit dem Hauptzollamt Stuttgart geboten.</w:t>
      </w:r>
    </w:p>
    <w:p/>
    <w:p>
      <w:pPr>
        <w:jc w:val="left"/>
      </w:pPr>
      <w:r>
        <w:rPr>
          <w:i/>
        </w:rPr>
        <w:t>GM-VS-2026-003 | Benedikt Schramm, Zollbeauftragter | 12.04.2026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