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UBO/KYC-Bericht: Endkunden-Prüfung und Sanktionsrisikobewertung</w:t>
      </w:r>
    </w:p>
    <w:p>
      <w:pPr>
        <w:jc w:val="left"/>
      </w:pPr>
      <w:r>
        <w:rPr>
          <w:b/>
        </w:rPr>
        <w:t>Dokumenttyp:</w:t>
      </w:r>
      <w:r>
        <w:t xml:space="preserve"> KYC-Bericht / Enhanced Due Diligence</w:t>
      </w:r>
    </w:p>
    <w:p>
      <w:pPr>
        <w:jc w:val="left"/>
      </w:pPr>
      <w:r>
        <w:rPr>
          <w:b/>
        </w:rPr>
        <w:t>Aktenzeichen:</w:t>
      </w:r>
      <w:r>
        <w:t xml:space="preserve"> GM-KYC-2026-022</w:t>
      </w:r>
    </w:p>
    <w:p>
      <w:pPr>
        <w:jc w:val="left"/>
      </w:pPr>
      <w:r>
        <w:rPr>
          <w:b/>
        </w:rPr>
        <w:t>Erstellt:</w:t>
      </w:r>
      <w:r>
        <w:t xml:space="preserve"> 17. April 2026</w:t>
      </w:r>
    </w:p>
    <w:p>
      <w:pPr>
        <w:jc w:val="left"/>
      </w:pPr>
      <w:r>
        <w:rPr>
          <w:b/>
        </w:rPr>
        <w:t>Verfasser:</w:t>
      </w:r>
      <w:r>
        <w:t xml:space="preserve"> Franziska Mehlhorn, Compliance-Analystin</w:t>
      </w:r>
    </w:p>
    <w:p>
      <w:pPr>
        <w:jc w:val="left"/>
      </w:pPr>
      <w:r>
        <w:rPr>
          <w:b/>
        </w:rPr>
        <w:t>Geprüft:</w:t>
      </w:r>
      <w:r>
        <w:t xml:space="preserve"> Dr. Sabine Brennecke, Syndikusrechtsanwältin</w:t>
      </w:r>
    </w:p>
    <w:p>
      <w:pPr>
        <w:jc w:val="left"/>
      </w:pPr>
      <w:r>
        <w:rPr>
          <w:b/>
        </w:rPr>
        <w:t>Status:</w:t>
      </w:r>
      <w:r>
        <w:t xml:space="preserve"> Eskalation – EDD abgeschlossen, Empfehlung: Geschäftsbeziehung vorerst nicht aufnehmen</w:t>
      </w:r>
    </w:p>
    <w:p/>
    <w:p>
      <w:pPr>
        <w:pStyle w:val="Heading2"/>
      </w:pPr>
      <w:r>
        <w:rPr>
          <w:rFonts w:ascii="Times New Roman" w:hAnsi="Times New Roman"/>
        </w:rPr>
        <w:t>1. Prüfungsanlass und Prüfungsumfang</w:t>
      </w:r>
    </w:p>
    <w:p>
      <w:pPr>
        <w:jc w:val="left"/>
      </w:pPr>
      <w:r>
        <w:t>Im Rahmen der Neukundenprüfung für die Lieferkette CNC-Steuermodul GX-900 wurden für alle beteiligten Entitäten KYC- und UBO-Prüfungen gemäß den gesetzlichen Anforderungen durchgeführt:</w:t>
      </w:r>
    </w:p>
    <w:p>
      <w:pPr>
        <w:jc w:val="left"/>
      </w:pPr>
      <w:r>
        <w:rPr>
          <w:b/>
        </w:rPr>
        <w:t>Rechtliche Grundlage:</w:t>
      </w:r>
    </w:p>
    <w:p>
      <w:pPr>
        <w:pStyle w:val="ListBullet"/>
      </w:pPr>
      <w:r>
        <w:t>Geldwäschegesetz (GwG), §§ 10–11, 14–17 (Sorgfaltspflichten, vereinfachte/verstärkte Sorgfaltspflichten)</w:t>
      </w:r>
    </w:p>
    <w:p>
      <w:pPr>
        <w:pStyle w:val="ListBullet"/>
      </w:pPr>
      <w:r>
        <w:t>§ 5 GwG (Risikobasierter Ansatz)</w:t>
      </w:r>
    </w:p>
    <w:p>
      <w:pPr>
        <w:pStyle w:val="ListBullet"/>
      </w:pPr>
      <w:r>
        <w:t>FATF-Empfehlungen Nr. 10, 12 (CDD, Politisch exponierte Personen)</w:t>
      </w:r>
    </w:p>
    <w:p>
      <w:pPr>
        <w:pStyle w:val="ListBullet"/>
      </w:pPr>
      <w:r>
        <w:t>Art. 3 VO (EU) 269/2014 (Bereitstellungsverbot gegenüber gelisteten Personen)</w:t>
      </w:r>
    </w:p>
    <w:p>
      <w:pPr>
        <w:pStyle w:val="ListBullet"/>
      </w:pPr>
      <w:r>
        <w:t>BaFin-Auslegungshinweise zum GwG (Stand 2023)</w:t>
      </w:r>
    </w:p>
    <w:p>
      <w:pPr>
        <w:jc w:val="left"/>
      </w:pPr>
      <w:r>
        <w:rPr>
          <w:b/>
        </w:rPr>
        <w:t>Prüfungsobjekte:</w:t>
      </w:r>
    </w:p>
    <w:p>
      <w:pPr>
        <w:pStyle w:val="ListNumber"/>
      </w:pPr>
      <w:r>
        <w:t>Turan Industrial Trading Ltd. (Händler, Istanbul)</w:t>
      </w:r>
    </w:p>
    <w:p>
      <w:pPr>
        <w:pStyle w:val="ListNumber"/>
      </w:pPr>
      <w:r>
        <w:t>Murat A. (UBO Turan, ungeklärter Trefferverdacht)</w:t>
      </w:r>
    </w:p>
    <w:p>
      <w:pPr>
        <w:pStyle w:val="ListNumber"/>
      </w:pPr>
      <w:r>
        <w:t>Al Noor FZE (Zahlungspartei, Dubai)</w:t>
      </w:r>
    </w:p>
    <w:p>
      <w:pPr>
        <w:pStyle w:val="ListNumber"/>
      </w:pPr>
      <w:r>
        <w:t>Atyrau Machinery Partners LLP (Endkunde, Kasachstan)</w:t>
      </w:r>
    </w:p>
    <w:p/>
    <w:p>
      <w:pPr>
        <w:pStyle w:val="Heading2"/>
      </w:pPr>
      <w:r>
        <w:rPr>
          <w:rFonts w:ascii="Times New Roman" w:hAnsi="Times New Roman"/>
        </w:rPr>
        <w:t>2. KYC-Dokumentation: Turan Industrial Trading Ltd.</w:t>
      </w:r>
    </w:p>
    <w:p>
      <w:pPr>
        <w:pStyle w:val="Heading3"/>
      </w:pPr>
      <w:r>
        <w:rPr>
          <w:rFonts w:ascii="Times New Roman" w:hAnsi="Times New Roman"/>
        </w:rPr>
        <w:t>2.1 Erhobene Unterlagen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Dokument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Vorlage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Qualität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Handelsregisterauszug Istanbul Ticaret Sicili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03/2026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Gut, offiziell apostilliert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Gesellschaftsvertrag (Esas Sözleşme)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02/2024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Türkisch, ohne beglaubigte Übersetzung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Unvollständig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Jahresabschluss 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Fehlt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Fehlt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UBO-Selbstauskunft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04/2026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Ausgefüllt, nur Initial "A." für Nachname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Unvollständig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Ausweisdokument UBO Murat A.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Fehlt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Fehlt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Transparenzregister (Deutschland: §§ 18–21 GwG)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anwendbar (TK-Gesellschaft)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EU-Transparenzregister prüfen</w:t>
            </w:r>
          </w:p>
        </w:tc>
      </w:tr>
    </w:tbl>
    <w:p>
      <w:pPr>
        <w:jc w:val="left"/>
      </w:pPr>
      <w:r>
        <w:rPr>
          <w:b/>
        </w:rPr>
        <w:t>Gesamtbewertung Dokumentation Turan:</w:t>
      </w:r>
      <w:r>
        <w:t xml:space="preserve"> Erhebliche Dokumentationslücken. Jahresabschluss und vollständige UBO-Identifikation fehlen. Gemäß § 10 Abs. 1 Nr. 2 GwG ist die Identität des wirtschaftlich Berechtigten vollständig zu klären; eine bloße Initial-Angabe genügt nicht.</w:t>
      </w:r>
    </w:p>
    <w:p>
      <w:pPr>
        <w:pStyle w:val="Heading3"/>
      </w:pPr>
      <w:r>
        <w:rPr>
          <w:rFonts w:ascii="Times New Roman" w:hAnsi="Times New Roman"/>
        </w:rPr>
        <w:t>2.2 UBO-Prüfung Murat A.</w:t>
      </w:r>
    </w:p>
    <w:p>
      <w:pPr>
        <w:jc w:val="left"/>
      </w:pPr>
      <w:r>
        <w:t>Der als wirtschaftlich Berechtigter gemeldete Murat A. hält laut Selbstauskunft 85 % an Turan Industrial Trading Ltd. Ein Transparenzregisterauszug für das türkische Unternehmen ist im türkischen Handelsrecht nicht identisch zum deutschen Transparenzregister; die Angaben wurden nur aus der Selbstauskunft entnommen.</w:t>
      </w:r>
    </w:p>
    <w:p>
      <w:pPr>
        <w:jc w:val="left"/>
      </w:pPr>
      <w:r>
        <w:rPr>
          <w:b/>
        </w:rPr>
        <w:t>Red-Flag-Prüfung UBO:</w:t>
      </w:r>
    </w:p>
    <w:p>
      <w:pPr>
        <w:pStyle w:val="ListBullet"/>
      </w:pPr>
      <w:r>
        <w:t>Kein vollständiger Nachname übermittelt</w:t>
      </w:r>
    </w:p>
    <w:p>
      <w:pPr>
        <w:pStyle w:val="ListBullet"/>
      </w:pPr>
      <w:r>
        <w:t>Geburtsdatum nicht bestätigt (Selbstauskunft ohne Dokument)</w:t>
      </w:r>
    </w:p>
    <w:p>
      <w:pPr>
        <w:pStyle w:val="ListBullet"/>
      </w:pPr>
      <w:r>
        <w:t>Trefferverdacht in WorldCheck auf "Murat Arslan" (vgl. Sanktionsprüfbericht GM-SANKT-2026-017)</w:t>
      </w:r>
    </w:p>
    <w:p>
      <w:pPr>
        <w:pStyle w:val="ListBullet"/>
      </w:pPr>
      <w:r>
        <w:t>Mögliche doppelte Staatsangehörigkeit (TK + RU) nicht ausgeschlossen</w:t>
      </w:r>
    </w:p>
    <w:p>
      <w:pPr>
        <w:pStyle w:val="ListBullet"/>
      </w:pPr>
      <w:r>
        <w:t>Kein Nachweis über Herkunft des Geschäftskapitals</w:t>
      </w:r>
    </w:p>
    <w:p>
      <w:pPr>
        <w:jc w:val="left"/>
      </w:pPr>
      <w:r>
        <w:rPr>
          <w:b/>
        </w:rPr>
        <w:t>Politisch exponierte Person (PEP)?</w:t>
      </w:r>
    </w:p>
    <w:p>
      <w:pPr>
        <w:jc w:val="left"/>
      </w:pPr>
      <w:r>
        <w:t>Eine PEP-Abfrage in der WorldCheck-Datenbank für "Murat A." / Istanbul ergibt keinen direkten PEP-Treffer. Aufgrund des ungeklärten Sanktionstreffer-Verdachts ist eine eingehende PEP-Prüfung mit vollständigen Identitätsdaten erforderlich, bevor ein Negativ-Urteil ausgestellt werden kann.</w:t>
      </w:r>
    </w:p>
    <w:p/>
    <w:p>
      <w:pPr>
        <w:pStyle w:val="Heading2"/>
      </w:pPr>
      <w:r>
        <w:rPr>
          <w:rFonts w:ascii="Times New Roman" w:hAnsi="Times New Roman"/>
        </w:rPr>
        <w:t>3. KYC-Dokumentation: Al Noor FZE, Dubai</w:t>
      </w:r>
    </w:p>
    <w:p>
      <w:pPr>
        <w:pStyle w:val="Heading3"/>
      </w:pPr>
      <w:r>
        <w:rPr>
          <w:rFonts w:ascii="Times New Roman" w:hAnsi="Times New Roman"/>
        </w:rPr>
        <w:t>3.1 Erhobene Unterlagen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Dokument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Vorlage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Qualität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JAFZA-Registrierungsbestätigung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Digital, keine Apostille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Eingeschränkt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Gesellschaftsvertrag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Fehlt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Fehlt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UBO-Erklärung (Ahmed Al-Rashidi)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04/2026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Name + Nationality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Oberflächlich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Ausweisdokument (Pass) Al-Rashidi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Kopie (keine beglaubigte Kopie)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Schlechte Bildqualität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Unzureichend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Jahresabschluss / Geschäftstätigkeit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Fehlt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Fehlt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Bankreferenz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Fehlt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Fehlt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3.2 Wirtschaftliche Substanzprüfung</w:t>
      </w:r>
    </w:p>
    <w:p>
      <w:pPr>
        <w:jc w:val="left"/>
      </w:pPr>
      <w:r>
        <w:t>Die Jebel Ali Free Zone (JAFZA) ermöglicht die Gründung von Unternehmen mit minimalen Anforderungen an physische Präsenz. Al Noor FZE wurde laut JAFZA-Eintrag 2021 gegründet und hat gemäß öffentlich verfügbaren Informationen:</w:t>
      </w:r>
    </w:p>
    <w:p>
      <w:pPr>
        <w:pStyle w:val="ListBullet"/>
      </w:pPr>
      <w:r>
        <w:t>Keine eigene Webseite (Domain nicht registriert)</w:t>
      </w:r>
    </w:p>
    <w:p>
      <w:pPr>
        <w:pStyle w:val="ListBullet"/>
      </w:pPr>
      <w:r>
        <w:t>Kein LinkedIn-Profil des Unternehmens</w:t>
      </w:r>
    </w:p>
    <w:p>
      <w:pPr>
        <w:pStyle w:val="ListBullet"/>
      </w:pPr>
      <w:r>
        <w:t>Nur eine registrierte Adresse (Business Center JAFZA)</w:t>
      </w:r>
    </w:p>
    <w:p>
      <w:pPr>
        <w:pStyle w:val="ListBullet"/>
      </w:pPr>
      <w:r>
        <w:t>Keine nachweisbare Mitarbeiterzahl</w:t>
      </w:r>
    </w:p>
    <w:p>
      <w:pPr>
        <w:jc w:val="left"/>
      </w:pPr>
      <w:r>
        <w:rPr>
          <w:b/>
        </w:rPr>
        <w:t>Bewertung wirtschaftliche Substanz:</w:t>
      </w:r>
      <w:r>
        <w:t xml:space="preserve"> Sehr geringer Substanznachweis. Al Noor FZE erscheint nach vorläufiger Einschätzung als Briefkastengesellschaft (Shell Company). Die Zahlung von 48.000 EUR Provision ohne erkennbare wirtschaftliche Gegenleistung erhöht das Geldwäsche-Risiko erheblich.</w:t>
      </w:r>
    </w:p>
    <w:p>
      <w:pPr>
        <w:jc w:val="left"/>
      </w:pPr>
      <w:r>
        <w:rPr>
          <w:b/>
        </w:rPr>
        <w:t>Typologien gemäß FATF-Bericht "Trade-Based Money Laundering" (2020):</w:t>
      </w:r>
    </w:p>
    <w:p>
      <w:pPr>
        <w:pStyle w:val="ListBullet"/>
      </w:pPr>
      <w:r>
        <w:t>Over- oder Under-Invoicing (Missbrauch von Handelsdokumenten)</w:t>
      </w:r>
    </w:p>
    <w:p>
      <w:pPr>
        <w:pStyle w:val="ListBullet"/>
      </w:pPr>
      <w:r>
        <w:t>Phantom Shipment (Zahlung ohne reale Warenlieferung)</w:t>
      </w:r>
    </w:p>
    <w:p>
      <w:pPr>
        <w:pStyle w:val="ListBullet"/>
      </w:pPr>
      <w:r>
        <w:t>Multiple Invoicing</w:t>
      </w:r>
    </w:p>
    <w:p>
      <w:pPr>
        <w:jc w:val="left"/>
      </w:pPr>
      <w:r>
        <w:t>Das Zahlungsmuster (Provision aus Deutschland an VAE-FZE, zeitgleich mit Industriegüterlieferung nach Kasachstan) entspricht Risikotypologie Nr. 3.1 der FATF-Guidance "Trade-Based Money Laundering – Typologies".</w:t>
      </w:r>
    </w:p>
    <w:p/>
    <w:p>
      <w:pPr>
        <w:pStyle w:val="Heading2"/>
      </w:pPr>
      <w:r>
        <w:rPr>
          <w:rFonts w:ascii="Times New Roman" w:hAnsi="Times New Roman"/>
        </w:rPr>
        <w:t>4. KYC-Dokumentation: Atyrau Machinery Partners LLP, Kasachstan</w:t>
      </w:r>
    </w:p>
    <w:p>
      <w:pPr>
        <w:pStyle w:val="Heading3"/>
      </w:pPr>
      <w:r>
        <w:rPr>
          <w:rFonts w:ascii="Times New Roman" w:hAnsi="Times New Roman"/>
        </w:rPr>
        <w:t>4.1 Erhobene Unterlagen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Dokument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Vorlage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Qualität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Kasachischer Handelsregisterauszug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Fehlt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Fehlt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Gesellschaftsvertrag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Fehlt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Fehlt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UBO-Erklärung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Fehlt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Fehlt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Endverwendungserklärung (EUC)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Fehlt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Fehlt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Referenzprojekte / Geschäftstätigkeit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Angaben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Unklar</w:t>
            </w:r>
          </w:p>
        </w:tc>
      </w:tr>
    </w:tbl>
    <w:p>
      <w:pPr>
        <w:jc w:val="left"/>
      </w:pPr>
      <w:r>
        <w:rPr>
          <w:b/>
        </w:rPr>
        <w:t>Gesamtbewertung Atyrau Machinery Partners:</w:t>
      </w:r>
      <w:r>
        <w:t xml:space="preserve"> KYC-Prüfung vollständig offen. Das Unternehmen ist nach aktuellem Stand eine unbekannte Entität ohne jegliche Dokumentation. Eine Geschäftsbeziehung oder Warenlieferung ist unter diesen Umständen nicht zulässig.</w:t>
      </w:r>
    </w:p>
    <w:p/>
    <w:p>
      <w:pPr>
        <w:pStyle w:val="Heading2"/>
      </w:pPr>
      <w:r>
        <w:rPr>
          <w:rFonts w:ascii="Times New Roman" w:hAnsi="Times New Roman"/>
        </w:rPr>
        <w:t>5. Gesamtbewertung und Ergebnisbewertung</w:t>
      </w:r>
    </w:p>
    <w:p>
      <w:pPr>
        <w:pStyle w:val="Heading3"/>
      </w:pPr>
      <w:r>
        <w:rPr>
          <w:rFonts w:ascii="Times New Roman" w:hAnsi="Times New Roman"/>
        </w:rPr>
        <w:t>5.1 Risikoeinstufung nach § 5 GwG (Risikobasierter Ansatz)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Entität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Risikofaktor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GwG-Risikostufe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EDD erforderlich?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Turan Industrial Trading Ltd.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Lückendokumentation, UBO ungeklärt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Ja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Murat A. (UBO)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Sanktionstrefferverdacht, keine Identitätsdokumente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Sehr 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Ja, prioritär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 Noor FZE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Briefkastengesellschaft-Verdacht, VAE-Risiko, hohe Provision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Sehr 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Ja, prioritär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Atyrau Machinery Partners LLP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Vollständig unbekannt, kein KYC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Unklar / 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Ja, vollständige CDD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5.2 Konsequenzen für die Geschäftsbeziehung</w:t>
      </w:r>
    </w:p>
    <w:p>
      <w:pPr>
        <w:jc w:val="left"/>
      </w:pPr>
      <w:r>
        <w:t>Gemäß § 10 Abs. 9 GwG ist das Eingehen oder die Fortsetzung einer Geschäftsbeziehung verboten, wenn die Sorgfaltspflichten nicht erfüllt werden können. Dies ist für alle vier Entitäten derzeit der Fall.</w:t>
      </w:r>
    </w:p>
    <w:p>
      <w:pPr>
        <w:jc w:val="left"/>
      </w:pPr>
      <w:r>
        <w:rPr>
          <w:b/>
        </w:rPr>
        <w:t>Empfehlung:</w:t>
      </w:r>
      <w:r>
        <w:t xml:space="preserve"> Die Geschäftsbeziehung mit Turan Industrial Trading Ltd. und der damit verbundenen Lieferkette ist bis zur vollständigen KYC-Klärung einzufrieren. Die Vorauszahlung von 125.000 EUR ist zu sichern.</w:t>
      </w:r>
    </w:p>
    <w:p>
      <w:pPr>
        <w:pStyle w:val="Heading3"/>
      </w:pPr>
      <w:r>
        <w:rPr>
          <w:rFonts w:ascii="Times New Roman" w:hAnsi="Times New Roman"/>
        </w:rPr>
        <w:t>5.3 Meldepflicht nach § 43 GwG</w:t>
      </w:r>
    </w:p>
    <w:p>
      <w:pPr>
        <w:jc w:val="left"/>
      </w:pPr>
      <w:r>
        <w:t xml:space="preserve">Die Kombination aus ungeklärtem Sanktionstrefferverdacht (Murat A.), wirtschaftlich substanzloser Zwischenentität (Al Noor FZE) und fehlendem Endkunden-KYC begründet einen Verdacht auf Geldwäsche oder Sanktionsumgehung. </w:t>
      </w:r>
      <w:r>
        <w:rPr>
          <w:b/>
        </w:rPr>
        <w:t>Eine Verdachtsmeldung an die Financial Intelligence Unit (FIU) nach § 43 GwG ist zu prüfen.</w:t>
      </w:r>
      <w:r>
        <w:t xml:space="preserve"> Die interne Prüfung ist zu dokumentieren; im Zweifel ist zu melden.</w:t>
      </w:r>
    </w:p>
    <w:p/>
    <w:p>
      <w:pPr>
        <w:pStyle w:val="Heading2"/>
      </w:pPr>
      <w:r>
        <w:rPr>
          <w:rFonts w:ascii="Times New Roman" w:hAnsi="Times New Roman"/>
        </w:rPr>
        <w:t>6. Bank-Anfrage Enhanced Due Diligence</w:t>
      </w:r>
    </w:p>
    <w:p>
      <w:pPr>
        <w:jc w:val="left"/>
      </w:pPr>
      <w:r>
        <w:t>Die Hausbank der Globalmaschinen GmbH (BW-Bank Stuttgart) hat eine Enhanced Due Diligence (EDD)-Anfrage gestellt. Die Bank hat signalisiert, dass bei ausbleibender Klärung des VAE-Zahlungswegs die Zahlungsabwicklung für künftige Transaktionen eingeschränkt werden könnte. Folgend die geforderten Unterlagen:</w:t>
      </w:r>
    </w:p>
    <w:p>
      <w:pPr>
        <w:pStyle w:val="ListNumber"/>
      </w:pPr>
      <w:r>
        <w:t>Nachweis wirtschaftlicher Hintergrund Al Noor FZE (Geschäftstätigkeit)</w:t>
      </w:r>
    </w:p>
    <w:p>
      <w:pPr>
        <w:pStyle w:val="ListNumber"/>
      </w:pPr>
      <w:r>
        <w:t>Erklärung zum Zweck der Provision (48.000 EUR)</w:t>
      </w:r>
    </w:p>
    <w:p>
      <w:pPr>
        <w:pStyle w:val="ListNumber"/>
      </w:pPr>
      <w:r>
        <w:t>Vollständige UBO-Kette Turan Industrial Trading</w:t>
      </w:r>
    </w:p>
    <w:p>
      <w:pPr>
        <w:pStyle w:val="ListNumber"/>
      </w:pPr>
      <w:r>
        <w:t>Erklärung zur Endverwendung der Ware (Kasachstan)</w:t>
      </w:r>
    </w:p>
    <w:p>
      <w:pPr>
        <w:jc w:val="left"/>
      </w:pPr>
      <w:r>
        <w:rPr>
          <w:b/>
        </w:rPr>
        <w:t>Frist (Bank):</w:t>
      </w:r>
      <w:r>
        <w:t xml:space="preserve"> 30. April 2026.</w:t>
      </w:r>
    </w:p>
    <w:p/>
    <w:p>
      <w:pPr>
        <w:pStyle w:val="Heading2"/>
      </w:pPr>
      <w:r>
        <w:rPr>
          <w:rFonts w:ascii="Times New Roman" w:hAnsi="Times New Roman"/>
        </w:rPr>
        <w:t>7. Nächste Schritte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Liefersperre und Zahlungsstopp bis KYC-Klärung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Sofort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Geschäftsführung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FIU-Meldung prüfen (interne Dokumentation)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19.04.2026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Brennecke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Anforderung vollständiger Pass-Kopie Murat A. (beglaubigt)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Compliance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Anforderung Handelsregister KZ + UBO Atyrau Machinery Partners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Compliance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Substanzprüfung Al Noor FZE (Bankauszug, MwSt-Registrierung VAE)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Compliance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Antwort an BW-Bank EDD-Anfrage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Brennecke + Compliance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Wiedervorlage gesamter KYC-Akte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Franziska Mehlhorn</w:t>
            </w:r>
          </w:p>
        </w:tc>
      </w:tr>
    </w:tbl>
    <w:p/>
    <w:p>
      <w:pPr>
        <w:jc w:val="left"/>
      </w:pPr>
      <w:r>
        <w:rPr>
          <w:i/>
        </w:rPr>
        <w:t>GM-KYC-2026-022 | Franziska Mehlhorn, Compliance-Analystin | 17.04.2026</w:t>
      </w:r>
    </w:p>
    <w:p>
      <w:pPr>
        <w:jc w:val="left"/>
      </w:pPr>
      <w:r>
        <w:rPr>
          <w:i/>
        </w:rPr>
        <w:t>Geprüft: Dr. Sabine Brennecke, Syndikusrechtsanwältin | 17.04.2026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