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Krisenkommunikation: Q&amp;A und Pressemitteilung</w:t>
      </w:r>
    </w:p>
    <w:p>
      <w:pPr>
        <w:jc w:val="left"/>
      </w:pPr>
      <w:r>
        <w:rPr>
          <w:b/>
        </w:rPr>
        <w:t>Dokumenttyp:</w:t>
      </w:r>
      <w:r>
        <w:t xml:space="preserve"> Krisenkommunikations-Entwurf (intern, nicht zur Veröffentlichung)</w:t>
      </w:r>
    </w:p>
    <w:p>
      <w:pPr>
        <w:jc w:val="left"/>
      </w:pPr>
      <w:r>
        <w:rPr>
          <w:b/>
        </w:rPr>
        <w:t>Aktenzeichen:</w:t>
      </w:r>
      <w:r>
        <w:t xml:space="preserve"> GM-PR-2026-005</w:t>
      </w:r>
    </w:p>
    <w:p>
      <w:pPr>
        <w:jc w:val="left"/>
      </w:pPr>
      <w:r>
        <w:rPr>
          <w:b/>
        </w:rPr>
        <w:t>Erstellt:</w:t>
      </w:r>
      <w:r>
        <w:t xml:space="preserve"> 14. April 2026, 09:30 Uhr</w:t>
      </w:r>
    </w:p>
    <w:p>
      <w:pPr>
        <w:jc w:val="left"/>
      </w:pPr>
      <w:r>
        <w:rPr>
          <w:b/>
        </w:rPr>
        <w:t>Verfasser:</w:t>
      </w:r>
      <w:r>
        <w:t xml:space="preserve"> Lena Hauser, Head of Communications; Dr. Sabine Brennecke, Syndikusrechtsanwältin</w:t>
      </w:r>
    </w:p>
    <w:p>
      <w:pPr>
        <w:jc w:val="left"/>
      </w:pPr>
      <w:r>
        <w:rPr>
          <w:b/>
        </w:rPr>
        <w:t>Status:</w:t>
      </w:r>
      <w:r>
        <w:t xml:space="preserve"> Entwurf – Freigabe durch Geschäftsführung ausstehend</w:t>
      </w:r>
    </w:p>
    <w:p>
      <w:pPr>
        <w:jc w:val="left"/>
      </w:pPr>
      <w:r>
        <w:rPr>
          <w:b/>
        </w:rPr>
        <w:t>Anlass:</w:t>
      </w:r>
      <w:r>
        <w:t xml:space="preserve"> Presseanfrage Süddeutsche Wirtschaftszeitung vom 14.04.2026, Antwortfrist 16:00 Uhr</w:t>
      </w:r>
    </w:p>
    <w:p/>
    <w:p>
      <w:pPr>
        <w:pStyle w:val="Heading2"/>
      </w:pPr>
      <w:r>
        <w:rPr>
          <w:rFonts w:ascii="Times New Roman" w:hAnsi="Times New Roman"/>
        </w:rPr>
        <w:t>1. Ausgangssituation</w:t>
      </w:r>
    </w:p>
    <w:p>
      <w:pPr>
        <w:jc w:val="left"/>
      </w:pPr>
      <w:r>
        <w:t>Die Süddeutsche Wirtschaftszeitung (SWZ) hat am 14. April 2026 um 09:15 Uhr eine Presseanfrage an die Unternehmenskommunikation der Globalmaschinen GmbH übermittelt. Inhalt:</w:t>
      </w:r>
    </w:p>
    <w:p>
      <w:pPr>
        <w:ind w:left="567"/>
      </w:pPr>
      <w:r>
        <w:rPr>
          <w:i/>
        </w:rPr>
        <w:t>"Uns liegen Informationen vor, wonach die Globalmaschinen GmbH trotz der geltenden EU-Russland-Sanktionen CNC-Steuermodule über türkische und kasachische Zwischenhändler in die Russische Föderation geliefert haben soll. Können Sie dies bestätigen oder dementieren? Welche internen Kontrollmaßnahmen bestanden? Kooperiert Ihr Unternehmen mit den Behörden?"</w:t>
      </w:r>
    </w:p>
    <w:p/>
    <w:p>
      <w:pPr>
        <w:pStyle w:val="Heading2"/>
      </w:pPr>
      <w:r>
        <w:rPr>
          <w:rFonts w:ascii="Times New Roman" w:hAnsi="Times New Roman"/>
        </w:rPr>
        <w:t>2. Interne Lagebewertung (Stand 14.04.2026, 10:00 Uhr)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Frage</w:t>
            </w:r>
          </w:p>
        </w:tc>
        <w:tc>
          <w:tcPr>
            <w:tcW w:type="dxa" w:w="3024"/>
          </w:tcPr>
          <w:p>
            <w:r>
              <w:rPr>
                <w:rFonts w:ascii="Times New Roman" w:hAnsi="Times New Roman"/>
                <w:b/>
                <w:sz w:val="20"/>
              </w:rPr>
              <w:t>Interne Antwort</w:t>
            </w:r>
          </w:p>
        </w:tc>
        <w:tc>
          <w:tcPr>
            <w:tcW w:type="dxa" w:w="3024"/>
          </w:tcPr>
          <w:p>
            <w:r>
              <w:rPr>
                <w:rFonts w:ascii="Times New Roman" w:hAnsi="Times New Roman"/>
                <w:b/>
                <w:sz w:val="20"/>
              </w:rPr>
              <w:t>Kommunizierbar?</w:t>
            </w:r>
          </w:p>
        </w:tc>
      </w:tr>
      <w:tr>
        <w:tc>
          <w:tcPr>
            <w:tcW w:type="dxa" w:w="3024"/>
          </w:tcPr>
          <w:p>
            <w:r>
              <w:rPr>
                <w:rFonts w:ascii="Times New Roman" w:hAnsi="Times New Roman"/>
                <w:sz w:val="20"/>
              </w:rPr>
              <w:t>Hat Globalmaschinen wissentlich RU beliefert?</w:t>
            </w:r>
          </w:p>
        </w:tc>
        <w:tc>
          <w:tcPr>
            <w:tcW w:type="dxa" w:w="3024"/>
          </w:tcPr>
          <w:p>
            <w:r>
              <w:rPr>
                <w:rFonts w:ascii="Times New Roman" w:hAnsi="Times New Roman"/>
                <w:sz w:val="20"/>
              </w:rPr>
              <w:t>Nein – es liegen keine Belege vor</w:t>
            </w:r>
          </w:p>
        </w:tc>
        <w:tc>
          <w:tcPr>
            <w:tcW w:type="dxa" w:w="3024"/>
          </w:tcPr>
          <w:p>
            <w:r>
              <w:rPr>
                <w:rFonts w:ascii="Times New Roman" w:hAnsi="Times New Roman"/>
                <w:sz w:val="20"/>
              </w:rPr>
              <w:t>Ja</w:t>
            </w:r>
          </w:p>
        </w:tc>
      </w:tr>
      <w:tr>
        <w:tc>
          <w:tcPr>
            <w:tcW w:type="dxa" w:w="3024"/>
          </w:tcPr>
          <w:p>
            <w:r>
              <w:rPr>
                <w:rFonts w:ascii="Times New Roman" w:hAnsi="Times New Roman"/>
                <w:sz w:val="20"/>
              </w:rPr>
              <w:t>Sind Waren an Turan/KZ-Endkunden ausgeliefert worden?</w:t>
            </w:r>
          </w:p>
        </w:tc>
        <w:tc>
          <w:tcPr>
            <w:tcW w:type="dxa" w:w="3024"/>
          </w:tcPr>
          <w:p>
            <w:r>
              <w:rPr>
                <w:rFonts w:ascii="Times New Roman" w:hAnsi="Times New Roman"/>
                <w:sz w:val="20"/>
              </w:rPr>
              <w:t>Ja (Jan + März 2026)</w:t>
            </w:r>
          </w:p>
        </w:tc>
        <w:tc>
          <w:tcPr>
            <w:tcW w:type="dxa" w:w="3024"/>
          </w:tcPr>
          <w:p>
            <w:r>
              <w:rPr>
                <w:rFonts w:ascii="Times New Roman" w:hAnsi="Times New Roman"/>
                <w:sz w:val="20"/>
              </w:rPr>
              <w:t>Ja (eingeräumt)</w:t>
            </w:r>
          </w:p>
        </w:tc>
      </w:tr>
      <w:tr>
        <w:tc>
          <w:tcPr>
            <w:tcW w:type="dxa" w:w="3024"/>
          </w:tcPr>
          <w:p>
            <w:r>
              <w:rPr>
                <w:rFonts w:ascii="Times New Roman" w:hAnsi="Times New Roman"/>
                <w:sz w:val="20"/>
              </w:rPr>
              <w:t>Gibt es internen Chat mit "Kasachstan"-Formulierung?</w:t>
            </w:r>
          </w:p>
        </w:tc>
        <w:tc>
          <w:tcPr>
            <w:tcW w:type="dxa" w:w="3024"/>
          </w:tcPr>
          <w:p>
            <w:r>
              <w:rPr>
                <w:rFonts w:ascii="Times New Roman" w:hAnsi="Times New Roman"/>
                <w:sz w:val="20"/>
              </w:rPr>
              <w:t>Ja – Bewertung durch RA läuft</w:t>
            </w:r>
          </w:p>
        </w:tc>
        <w:tc>
          <w:tcPr>
            <w:tcW w:type="dxa" w:w="3024"/>
          </w:tcPr>
          <w:p>
            <w:r>
              <w:rPr>
                <w:rFonts w:ascii="Times New Roman" w:hAnsi="Times New Roman"/>
                <w:sz w:val="20"/>
              </w:rPr>
              <w:t>Nein – kein Kommentar zu laufenden internen Untersuchungen</w:t>
            </w:r>
          </w:p>
        </w:tc>
      </w:tr>
      <w:tr>
        <w:tc>
          <w:tcPr>
            <w:tcW w:type="dxa" w:w="3024"/>
          </w:tcPr>
          <w:p>
            <w:r>
              <w:rPr>
                <w:rFonts w:ascii="Times New Roman" w:hAnsi="Times New Roman"/>
                <w:sz w:val="20"/>
              </w:rPr>
              <w:t>Ist BAFA/HZA eingeschaltet?</w:t>
            </w:r>
          </w:p>
        </w:tc>
        <w:tc>
          <w:tcPr>
            <w:tcW w:type="dxa" w:w="3024"/>
          </w:tcPr>
          <w:p>
            <w:r>
              <w:rPr>
                <w:rFonts w:ascii="Times New Roman" w:hAnsi="Times New Roman"/>
                <w:sz w:val="20"/>
              </w:rPr>
              <w:t>Ja – kooperieren</w:t>
            </w:r>
          </w:p>
        </w:tc>
        <w:tc>
          <w:tcPr>
            <w:tcW w:type="dxa" w:w="3024"/>
          </w:tcPr>
          <w:p>
            <w:r>
              <w:rPr>
                <w:rFonts w:ascii="Times New Roman" w:hAnsi="Times New Roman"/>
                <w:sz w:val="20"/>
              </w:rPr>
              <w:t>Ja (kooperativ darstellen)</w:t>
            </w:r>
          </w:p>
        </w:tc>
      </w:tr>
      <w:tr>
        <w:tc>
          <w:tcPr>
            <w:tcW w:type="dxa" w:w="3024"/>
          </w:tcPr>
          <w:p>
            <w:r>
              <w:rPr>
                <w:rFonts w:ascii="Times New Roman" w:hAnsi="Times New Roman"/>
                <w:sz w:val="20"/>
              </w:rPr>
              <w:t>Ist Lieferstopp verhängt?</w:t>
            </w:r>
          </w:p>
        </w:tc>
        <w:tc>
          <w:tcPr>
            <w:tcW w:type="dxa" w:w="3024"/>
          </w:tcPr>
          <w:p>
            <w:r>
              <w:rPr>
                <w:rFonts w:ascii="Times New Roman" w:hAnsi="Times New Roman"/>
                <w:sz w:val="20"/>
              </w:rPr>
              <w:t>Ja, seit 12.04.2026</w:t>
            </w:r>
          </w:p>
        </w:tc>
        <w:tc>
          <w:tcPr>
            <w:tcW w:type="dxa" w:w="3024"/>
          </w:tcPr>
          <w:p>
            <w:r>
              <w:rPr>
                <w:rFonts w:ascii="Times New Roman" w:hAnsi="Times New Roman"/>
                <w:sz w:val="20"/>
              </w:rPr>
              <w:t>Ja (proaktiv kommunizieren)</w:t>
            </w:r>
          </w:p>
        </w:tc>
      </w:tr>
      <w:tr>
        <w:tc>
          <w:tcPr>
            <w:tcW w:type="dxa" w:w="3024"/>
          </w:tcPr>
          <w:p>
            <w:r>
              <w:rPr>
                <w:rFonts w:ascii="Times New Roman" w:hAnsi="Times New Roman"/>
                <w:sz w:val="20"/>
              </w:rPr>
              <w:t>Gibt es Strafverfolgungsrisiko?</w:t>
            </w:r>
          </w:p>
        </w:tc>
        <w:tc>
          <w:tcPr>
            <w:tcW w:type="dxa" w:w="3024"/>
          </w:tcPr>
          <w:p>
            <w:r>
              <w:rPr>
                <w:rFonts w:ascii="Times New Roman" w:hAnsi="Times New Roman"/>
                <w:sz w:val="20"/>
              </w:rPr>
              <w:t>Hoch bei Dual-Use, Sanktionen</w:t>
            </w:r>
          </w:p>
        </w:tc>
        <w:tc>
          <w:tcPr>
            <w:tcW w:type="dxa" w:w="3024"/>
          </w:tcPr>
          <w:p>
            <w:r>
              <w:rPr>
                <w:rFonts w:ascii="Times New Roman" w:hAnsi="Times New Roman"/>
                <w:sz w:val="20"/>
              </w:rPr>
              <w:t>Nicht kommentieren</w:t>
            </w:r>
          </w:p>
        </w:tc>
      </w:tr>
    </w:tbl>
    <w:p>
      <w:pPr>
        <w:jc w:val="left"/>
      </w:pPr>
      <w:r>
        <w:rPr>
          <w:b/>
        </w:rPr>
        <w:t>Pressestrategie:</w:t>
      </w:r>
      <w:r>
        <w:t xml:space="preserve"> Proaktive Transparenz über konkrete Schritte; kein Kommentar zu laufenden behördlichen Prüfungen; keine Aussagen zu internen Ermittlungsergebnissen; klare Distanzierung von bewusster Sanktionsumgehung.</w:t>
      </w:r>
    </w:p>
    <w:p/>
    <w:p>
      <w:pPr>
        <w:pStyle w:val="Heading2"/>
      </w:pPr>
      <w:r>
        <w:rPr>
          <w:rFonts w:ascii="Times New Roman" w:hAnsi="Times New Roman"/>
        </w:rPr>
        <w:t>3. Q&amp;A-Dokument (intern und extern verwendbar)</w:t>
      </w:r>
    </w:p>
    <w:p/>
    <w:p>
      <w:pPr>
        <w:jc w:val="left"/>
      </w:pPr>
      <w:r>
        <w:rPr>
          <w:b/>
        </w:rPr>
        <w:t>F1: Hat die Globalmaschinen GmbH trotz EU-Sanktionen Waren nach Russland geliefert?</w:t>
      </w:r>
    </w:p>
    <w:p>
      <w:pPr>
        <w:jc w:val="left"/>
      </w:pPr>
      <w:r>
        <w:t>A: Die Globalmaschinen GmbH hat zu keinem Zeitpunkt Waren wissentlich in die Russische Föderation, nach Belarus oder in den Iran geliefert und hält die geltenden EU-Sanktionsregime uneingeschränkt für verbindlich. Das Unternehmen wurde durch eine Presseanfrage darauf aufmerksam, dass Vorwürfe einer möglichen indirekten Weiterlieferung im Raum stehen. Diese Hinweise nehmen wir außerordentlich ernst. Wir haben unverzüglich interne Ermittlungen eingeleitet und kooperieren vollständig mit den zuständigen Behörden.</w:t>
      </w:r>
    </w:p>
    <w:p/>
    <w:p>
      <w:pPr>
        <w:jc w:val="left"/>
      </w:pPr>
      <w:r>
        <w:rPr>
          <w:b/>
        </w:rPr>
        <w:t>F2: Haben Sie Waren an türkische oder kasachische Händler geliefert?</w:t>
      </w:r>
    </w:p>
    <w:p>
      <w:pPr>
        <w:jc w:val="left"/>
      </w:pPr>
      <w:r>
        <w:t>A: Ja, die Globalmaschinen GmbH beliefert weltweit Händler und Distributoren, darunter auch in der Türkei und in Zentralasien. Dies ist rechtmäßige unternehmerische Tätigkeit. Jede Lieferung wird einer Exportkontrolle und Sanktionsprüfung unterzogen. Nachdem uns Hinweise auf mögliche Unregelmäßigkeiten in einem konkreten Liefervorgang bekannt wurden, haben wir am 12. April 2026 einen vollständigen Lieferstopp für die betroffenen Produktlinien verhängt, der bis zur vollständigen Klärung aufrechterhalten wird.</w:t>
      </w:r>
    </w:p>
    <w:p/>
    <w:p>
      <w:pPr>
        <w:jc w:val="left"/>
      </w:pPr>
      <w:r>
        <w:rPr>
          <w:b/>
        </w:rPr>
        <w:t>F3: Welche internen Kontrollmaßnahmen bestanden?</w:t>
      </w:r>
    </w:p>
    <w:p>
      <w:pPr>
        <w:jc w:val="left"/>
      </w:pPr>
      <w:r>
        <w:t>A: Die Globalmaschinen GmbH unterhält ein internes Exportkontrollprogramm (ICP), das Sanktionslistenprüfungen, Güterklassifizierungen und Endverwendungsprüfungen umfasst. In einem konkreten Fall hat das bestehende System offenbar nicht ausreichend gewirkt. Wir haben deshalb eine vollständige Gap-Analyse des ICP beauftragt und werden auf deren Basis unmittelbar zusätzliche Kontrollmaßnahmen implementieren.</w:t>
      </w:r>
    </w:p>
    <w:p/>
    <w:p>
      <w:pPr>
        <w:jc w:val="left"/>
      </w:pPr>
      <w:r>
        <w:rPr>
          <w:b/>
        </w:rPr>
        <w:t>F4: Kooperiert Globalmaschinen mit den zuständigen Behörden?</w:t>
      </w:r>
    </w:p>
    <w:p>
      <w:pPr>
        <w:jc w:val="left"/>
      </w:pPr>
      <w:r>
        <w:t>A: Ja, uneingeschränkt. Wir haben sowohl das Bundesamt für Wirtschaft und Ausfuhrkontrolle (BAFA) als auch das Hauptzollamt Stuttgart über die uns bekannten Vorgänge informiert und stellen sämtliche angeforderten Unterlagen zur Verfügung. Wir werden jede behördliche Maßnahme aktiv unterstützen.</w:t>
      </w:r>
    </w:p>
    <w:p/>
    <w:p>
      <w:pPr>
        <w:jc w:val="left"/>
      </w:pPr>
      <w:r>
        <w:rPr>
          <w:b/>
        </w:rPr>
        <w:t>F5: Wird es Konsequenzen für Mitarbeiter geben?</w:t>
      </w:r>
    </w:p>
    <w:p>
      <w:pPr>
        <w:jc w:val="left"/>
      </w:pPr>
      <w:r>
        <w:t>A: Wir führen eine interne Untersuchung durch und werden auf deren Basis alle erforderlichen personellen und organisatorischen Konsequenzen ziehen. Zu laufenden internen Ermittlungen äußern wir uns nicht öffentlich.</w:t>
      </w:r>
    </w:p>
    <w:p/>
    <w:p>
      <w:pPr>
        <w:jc w:val="left"/>
      </w:pPr>
      <w:r>
        <w:rPr>
          <w:b/>
        </w:rPr>
        <w:t>F6: Welche wirtschaftlichen Folgen erwarten Sie?</w:t>
      </w:r>
    </w:p>
    <w:p>
      <w:pPr>
        <w:jc w:val="left"/>
      </w:pPr>
      <w:r>
        <w:t>A: Zum jetzigen Zeitpunkt konzentrieren wir uns auf die vollständige Aufklärung des Sachverhalts. Zu möglichen wirtschaftlichen Folgen werden wir keine Prognosen abgeben.</w:t>
      </w:r>
    </w:p>
    <w:p/>
    <w:p>
      <w:pPr>
        <w:jc w:val="left"/>
      </w:pPr>
      <w:r>
        <w:rPr>
          <w:b/>
        </w:rPr>
        <w:t>F7: Wann wurde Ihnen das Problem bekannt?</w:t>
      </w:r>
    </w:p>
    <w:p>
      <w:pPr>
        <w:jc w:val="left"/>
      </w:pPr>
      <w:r>
        <w:t>A: Erste Hinweise ergaben sich im Rahmen routinemäßiger Compliance-Prüfungen Anfang April 2026. Unmittelbar danach wurden interne Sicherungsmaßnahmen eingeleitet.</w:t>
      </w:r>
    </w:p>
    <w:p/>
    <w:p>
      <w:pPr>
        <w:pStyle w:val="Heading2"/>
      </w:pPr>
      <w:r>
        <w:rPr>
          <w:rFonts w:ascii="Times New Roman" w:hAnsi="Times New Roman"/>
        </w:rPr>
        <w:t>4. Pressemitteilung (Entwurf – vorbehaltlich Geschäftsführungsfreigabe)</w:t>
      </w:r>
    </w:p>
    <w:p/>
    <w:p>
      <w:pPr>
        <w:jc w:val="left"/>
      </w:pPr>
      <w:r>
        <w:rPr>
          <w:b/>
        </w:rPr>
        <w:t>PRESSEMITTEILUNG</w:t>
      </w:r>
    </w:p>
    <w:p>
      <w:pPr>
        <w:jc w:val="left"/>
      </w:pPr>
      <w:r>
        <w:rPr>
          <w:b/>
        </w:rPr>
        <w:t>Globalmaschinen GmbH leitet interne Untersuchung ein – vollständige Kooperation mit Behörden</w:t>
      </w:r>
    </w:p>
    <w:p>
      <w:pPr>
        <w:jc w:val="left"/>
      </w:pPr>
      <w:r>
        <w:rPr>
          <w:i/>
        </w:rPr>
        <w:t>Stuttgart, 14. April 2026</w:t>
      </w:r>
      <w:r>
        <w:t xml:space="preserve"> – Die Globalmaschinen GmbH hat nach Bekanntwerden von Vorwürfen einer möglichen Verletzung von EU-Exportkontroll- und Sanktionsvorschriften interne Ermittlungen eingeleitet und eine vollständige Zusammenarbeit mit den zuständigen Behörden erklärt.</w:t>
      </w:r>
    </w:p>
    <w:p>
      <w:pPr>
        <w:jc w:val="left"/>
      </w:pPr>
      <w:r>
        <w:t>Das Stuttgarter Maschinenbauunternehmen, das CNC-Steuermodule und Industriekomponenten weltweit vertreibt, betont, dass wissentliche Verstöße gegen die EU-Sanktionsregime weder stattgefunden haben noch geduldet werden. Erste interne Prüfungen haben jedoch ergeben, dass in einzelnen Liefervorgängen die internen Kontrollprozesse nicht in vollem Umfang gegriffen haben.</w:t>
      </w:r>
    </w:p>
    <w:p>
      <w:pPr>
        <w:jc w:val="left"/>
      </w:pPr>
      <w:r>
        <w:t>"Wir nehmen diese Erkenntnisse mit größtem Ernst. Die vollständige Aufklärung hat absolute Priorität. Wir haben unverzüglich einen Lieferstopp verhängt, unsere Compliance-Strukturen intensiviert und informieren proaktiv die zuständigen Behörden", erklärt Marcus Vogt, Geschäftsführer der Globalmaschinen GmbH.</w:t>
      </w:r>
    </w:p>
    <w:p>
      <w:pPr>
        <w:jc w:val="left"/>
      </w:pPr>
      <w:r>
        <w:t>Das Unternehmen hat am 12. April 2026 einen sofortigen Lieferstopp für die betroffenen Produktlinien verhängt. Zusätzlich wurden folgende Maßnahmen eingeleitet:</w:t>
      </w:r>
    </w:p>
    <w:p>
      <w:pPr>
        <w:pStyle w:val="ListBullet"/>
      </w:pPr>
      <w:r>
        <w:rPr>
          <w:b/>
        </w:rPr>
        <w:t>Interne Untersuchung</w:t>
      </w:r>
      <w:r>
        <w:t xml:space="preserve"> unter Leitung der Syndikusrechtsanwältin mit Unterstützung externer Fachberater</w:t>
      </w:r>
    </w:p>
    <w:p>
      <w:pPr>
        <w:pStyle w:val="ListBullet"/>
      </w:pPr>
      <w:r>
        <w:rPr>
          <w:b/>
        </w:rPr>
        <w:t>Legal Hold</w:t>
      </w:r>
      <w:r>
        <w:t xml:space="preserve"> für alle relevanten Unterlagen und Kommunikation</w:t>
      </w:r>
    </w:p>
    <w:p>
      <w:pPr>
        <w:pStyle w:val="ListBullet"/>
      </w:pPr>
      <w:r>
        <w:rPr>
          <w:b/>
        </w:rPr>
        <w:t>Vollständige Kooperation</w:t>
      </w:r>
      <w:r>
        <w:t xml:space="preserve"> mit BAFA und Hauptzollamt Stuttgart</w:t>
      </w:r>
    </w:p>
    <w:p>
      <w:pPr>
        <w:pStyle w:val="ListBullet"/>
      </w:pPr>
      <w:r>
        <w:rPr>
          <w:b/>
        </w:rPr>
        <w:t>Gap-Analyse des Exportkontrollprogramms</w:t>
      </w:r>
      <w:r>
        <w:t xml:space="preserve"> und sofortige Nachbesserung</w:t>
      </w:r>
    </w:p>
    <w:p>
      <w:pPr>
        <w:pStyle w:val="ListBullet"/>
      </w:pPr>
      <w:r>
        <w:rPr>
          <w:b/>
        </w:rPr>
        <w:t>Erweiterte KYC-Prüfungen</w:t>
      </w:r>
      <w:r>
        <w:t xml:space="preserve"> für alle bestehenden und neuen Handelspartner in Drittstaaten</w:t>
      </w:r>
    </w:p>
    <w:p>
      <w:pPr>
        <w:jc w:val="left"/>
      </w:pPr>
      <w:r>
        <w:t>Globalmaschinen GmbH beliefert weltweit Maschinenbauunternehmen und ist seit seiner Gründung 1978 den Grundsätzen regelkonformen Wirtschaftens verpflichtet. Das Unternehmen wird über den Fortgang der Untersuchung transparent berichten.</w:t>
      </w:r>
    </w:p>
    <w:p>
      <w:pPr>
        <w:jc w:val="left"/>
      </w:pPr>
      <w:r>
        <w:rPr>
          <w:b/>
        </w:rPr>
        <w:t>Kontakt für Presseanfragen:</w:t>
      </w:r>
    </w:p>
    <w:p>
      <w:pPr>
        <w:jc w:val="left"/>
      </w:pPr>
      <w:r>
        <w:t>Lena Hauser | Head of Communications</w:t>
      </w:r>
    </w:p>
    <w:p>
      <w:pPr>
        <w:jc w:val="left"/>
      </w:pPr>
      <w:r>
        <w:t>Globalmaschinen GmbH | Rotebühlplatz 18 | 70178 Stuttgart</w:t>
      </w:r>
    </w:p>
    <w:p>
      <w:pPr>
        <w:jc w:val="left"/>
      </w:pPr>
      <w:r>
        <w:t>Tel.: +49 711 123456-90 | presse@globalmaschinen-gmbh.de</w:t>
      </w:r>
    </w:p>
    <w:p/>
    <w:p>
      <w:pPr>
        <w:pStyle w:val="Heading2"/>
      </w:pPr>
      <w:r>
        <w:rPr>
          <w:rFonts w:ascii="Times New Roman" w:hAnsi="Times New Roman"/>
        </w:rPr>
        <w:t>5. Kommunikationsplan und Zeitschiene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Zeitpunkt</w:t>
            </w:r>
          </w:p>
        </w:tc>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Kanal</w:t>
            </w:r>
          </w:p>
        </w:tc>
      </w:tr>
      <w:tr>
        <w:tc>
          <w:tcPr>
            <w:tcW w:type="dxa" w:w="2268"/>
          </w:tcPr>
          <w:p>
            <w:r>
              <w:rPr>
                <w:rFonts w:ascii="Times New Roman" w:hAnsi="Times New Roman"/>
                <w:sz w:val="20"/>
              </w:rPr>
              <w:t>14.04.2026, 15:30 Uhr</w:t>
            </w:r>
          </w:p>
        </w:tc>
        <w:tc>
          <w:tcPr>
            <w:tcW w:type="dxa" w:w="2268"/>
          </w:tcPr>
          <w:p>
            <w:r>
              <w:rPr>
                <w:rFonts w:ascii="Times New Roman" w:hAnsi="Times New Roman"/>
                <w:sz w:val="20"/>
              </w:rPr>
              <w:t>Presseanfrage SWZ beantworten (Statement)</w:t>
            </w:r>
          </w:p>
        </w:tc>
        <w:tc>
          <w:tcPr>
            <w:tcW w:type="dxa" w:w="2268"/>
          </w:tcPr>
          <w:p>
            <w:r>
              <w:rPr>
                <w:rFonts w:ascii="Times New Roman" w:hAnsi="Times New Roman"/>
                <w:sz w:val="20"/>
              </w:rPr>
              <w:t>Hauser + Brennecke</w:t>
            </w:r>
          </w:p>
        </w:tc>
        <w:tc>
          <w:tcPr>
            <w:tcW w:type="dxa" w:w="2268"/>
          </w:tcPr>
          <w:p>
            <w:r>
              <w:rPr>
                <w:rFonts w:ascii="Times New Roman" w:hAnsi="Times New Roman"/>
                <w:sz w:val="20"/>
              </w:rPr>
              <w:t>E-Mail</w:t>
            </w:r>
          </w:p>
        </w:tc>
      </w:tr>
      <w:tr>
        <w:tc>
          <w:tcPr>
            <w:tcW w:type="dxa" w:w="2268"/>
          </w:tcPr>
          <w:p>
            <w:r>
              <w:rPr>
                <w:rFonts w:ascii="Times New Roman" w:hAnsi="Times New Roman"/>
                <w:sz w:val="20"/>
              </w:rPr>
              <w:t>14.04.2026, 16:00 Uhr</w:t>
            </w:r>
          </w:p>
        </w:tc>
        <w:tc>
          <w:tcPr>
            <w:tcW w:type="dxa" w:w="2268"/>
          </w:tcPr>
          <w:p>
            <w:r>
              <w:rPr>
                <w:rFonts w:ascii="Times New Roman" w:hAnsi="Times New Roman"/>
                <w:sz w:val="20"/>
              </w:rPr>
              <w:t>Interne Mitarbeiterinformation (kurz)</w:t>
            </w:r>
          </w:p>
        </w:tc>
        <w:tc>
          <w:tcPr>
            <w:tcW w:type="dxa" w:w="2268"/>
          </w:tcPr>
          <w:p>
            <w:r>
              <w:rPr>
                <w:rFonts w:ascii="Times New Roman" w:hAnsi="Times New Roman"/>
                <w:sz w:val="20"/>
              </w:rPr>
              <w:t>Vogt (GF)</w:t>
            </w:r>
          </w:p>
        </w:tc>
        <w:tc>
          <w:tcPr>
            <w:tcW w:type="dxa" w:w="2268"/>
          </w:tcPr>
          <w:p>
            <w:r>
              <w:rPr>
                <w:rFonts w:ascii="Times New Roman" w:hAnsi="Times New Roman"/>
                <w:sz w:val="20"/>
              </w:rPr>
              <w:t>Intranet</w:t>
            </w:r>
          </w:p>
        </w:tc>
      </w:tr>
      <w:tr>
        <w:tc>
          <w:tcPr>
            <w:tcW w:type="dxa" w:w="2268"/>
          </w:tcPr>
          <w:p>
            <w:r>
              <w:rPr>
                <w:rFonts w:ascii="Times New Roman" w:hAnsi="Times New Roman"/>
                <w:sz w:val="20"/>
              </w:rPr>
              <w:t>15.04.2026</w:t>
            </w:r>
          </w:p>
        </w:tc>
        <w:tc>
          <w:tcPr>
            <w:tcW w:type="dxa" w:w="2268"/>
          </w:tcPr>
          <w:p>
            <w:r>
              <w:rPr>
                <w:rFonts w:ascii="Times New Roman" w:hAnsi="Times New Roman"/>
                <w:sz w:val="20"/>
              </w:rPr>
              <w:t>Pressemitteilung veröffentlichen (falls keine weitere Medienberichterstattung)</w:t>
            </w:r>
          </w:p>
        </w:tc>
        <w:tc>
          <w:tcPr>
            <w:tcW w:type="dxa" w:w="2268"/>
          </w:tcPr>
          <w:p>
            <w:r>
              <w:rPr>
                <w:rFonts w:ascii="Times New Roman" w:hAnsi="Times New Roman"/>
                <w:sz w:val="20"/>
              </w:rPr>
              <w:t>Hauser</w:t>
            </w:r>
          </w:p>
        </w:tc>
        <w:tc>
          <w:tcPr>
            <w:tcW w:type="dxa" w:w="2268"/>
          </w:tcPr>
          <w:p>
            <w:r>
              <w:rPr>
                <w:rFonts w:ascii="Times New Roman" w:hAnsi="Times New Roman"/>
                <w:sz w:val="20"/>
              </w:rPr>
              <w:t>Presseverteiler, Website</w:t>
            </w:r>
          </w:p>
        </w:tc>
      </w:tr>
      <w:tr>
        <w:tc>
          <w:tcPr>
            <w:tcW w:type="dxa" w:w="2268"/>
          </w:tcPr>
          <w:p>
            <w:r>
              <w:rPr>
                <w:rFonts w:ascii="Times New Roman" w:hAnsi="Times New Roman"/>
                <w:sz w:val="20"/>
              </w:rPr>
              <w:t>16.04.2026</w:t>
            </w:r>
          </w:p>
        </w:tc>
        <w:tc>
          <w:tcPr>
            <w:tcW w:type="dxa" w:w="2268"/>
          </w:tcPr>
          <w:p>
            <w:r>
              <w:rPr>
                <w:rFonts w:ascii="Times New Roman" w:hAnsi="Times New Roman"/>
                <w:sz w:val="20"/>
              </w:rPr>
              <w:t>Kundeninformation (betroffene Handelspartner)</w:t>
            </w:r>
          </w:p>
        </w:tc>
        <w:tc>
          <w:tcPr>
            <w:tcW w:type="dxa" w:w="2268"/>
          </w:tcPr>
          <w:p>
            <w:r>
              <w:rPr>
                <w:rFonts w:ascii="Times New Roman" w:hAnsi="Times New Roman"/>
                <w:sz w:val="20"/>
              </w:rPr>
              <w:t>Vertriebsleiter Bergmann</w:t>
            </w:r>
          </w:p>
        </w:tc>
        <w:tc>
          <w:tcPr>
            <w:tcW w:type="dxa" w:w="2268"/>
          </w:tcPr>
          <w:p>
            <w:r>
              <w:rPr>
                <w:rFonts w:ascii="Times New Roman" w:hAnsi="Times New Roman"/>
                <w:sz w:val="20"/>
              </w:rPr>
              <w:t>Direkte Anschreiben</w:t>
            </w:r>
          </w:p>
        </w:tc>
      </w:tr>
      <w:tr>
        <w:tc>
          <w:tcPr>
            <w:tcW w:type="dxa" w:w="2268"/>
          </w:tcPr>
          <w:p>
            <w:r>
              <w:rPr>
                <w:rFonts w:ascii="Times New Roman" w:hAnsi="Times New Roman"/>
                <w:sz w:val="20"/>
              </w:rPr>
              <w:t>30.04.2026</w:t>
            </w:r>
          </w:p>
        </w:tc>
        <w:tc>
          <w:tcPr>
            <w:tcW w:type="dxa" w:w="2268"/>
          </w:tcPr>
          <w:p>
            <w:r>
              <w:rPr>
                <w:rFonts w:ascii="Times New Roman" w:hAnsi="Times New Roman"/>
                <w:sz w:val="20"/>
              </w:rPr>
              <w:t>Update: Erste Ergebnisse der internen Untersuchung kommunizieren</w:t>
            </w:r>
          </w:p>
        </w:tc>
        <w:tc>
          <w:tcPr>
            <w:tcW w:type="dxa" w:w="2268"/>
          </w:tcPr>
          <w:p>
            <w:r>
              <w:rPr>
                <w:rFonts w:ascii="Times New Roman" w:hAnsi="Times New Roman"/>
                <w:sz w:val="20"/>
              </w:rPr>
              <w:t>Hauser + Brennecke</w:t>
            </w:r>
          </w:p>
        </w:tc>
        <w:tc>
          <w:tcPr>
            <w:tcW w:type="dxa" w:w="2268"/>
          </w:tcPr>
          <w:p>
            <w:r>
              <w:rPr>
                <w:rFonts w:ascii="Times New Roman" w:hAnsi="Times New Roman"/>
                <w:sz w:val="20"/>
              </w:rPr>
              <w:t>Pressemitteilung</w:t>
            </w:r>
          </w:p>
        </w:tc>
      </w:tr>
      <w:tr>
        <w:tc>
          <w:tcPr>
            <w:tcW w:type="dxa" w:w="2268"/>
          </w:tcPr>
          <w:p>
            <w:r>
              <w:rPr>
                <w:rFonts w:ascii="Times New Roman" w:hAnsi="Times New Roman"/>
                <w:sz w:val="20"/>
              </w:rPr>
              <w:t>Fortlaufend</w:t>
            </w:r>
          </w:p>
        </w:tc>
        <w:tc>
          <w:tcPr>
            <w:tcW w:type="dxa" w:w="2268"/>
          </w:tcPr>
          <w:p>
            <w:r>
              <w:rPr>
                <w:rFonts w:ascii="Times New Roman" w:hAnsi="Times New Roman"/>
                <w:sz w:val="20"/>
              </w:rPr>
              <w:t>Social-Media-Monitoring: SWZ-Artikel, Twitter/X, LinkedIn</w:t>
            </w:r>
          </w:p>
        </w:tc>
        <w:tc>
          <w:tcPr>
            <w:tcW w:type="dxa" w:w="2268"/>
          </w:tcPr>
          <w:p>
            <w:r>
              <w:rPr>
                <w:rFonts w:ascii="Times New Roman" w:hAnsi="Times New Roman"/>
                <w:sz w:val="20"/>
              </w:rPr>
              <w:t>Hauser</w:t>
            </w:r>
          </w:p>
        </w:tc>
        <w:tc>
          <w:tcPr>
            <w:tcW w:type="dxa" w:w="2268"/>
          </w:tcPr>
          <w:p>
            <w:r>
              <w:rPr>
                <w:rFonts w:ascii="Times New Roman" w:hAnsi="Times New Roman"/>
                <w:sz w:val="20"/>
              </w:rPr>
              <w:t>Tweetdeck / Mention</w:t>
            </w:r>
          </w:p>
        </w:tc>
      </w:tr>
    </w:tbl>
    <w:p>
      <w:pPr>
        <w:pStyle w:val="Heading3"/>
      </w:pPr>
      <w:r>
        <w:rPr>
          <w:rFonts w:ascii="Times New Roman" w:hAnsi="Times New Roman"/>
        </w:rPr>
        <w:t>5.1 Risikoszenarien und Reaktionen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Szenario</w:t>
            </w:r>
          </w:p>
        </w:tc>
        <w:tc>
          <w:tcPr>
            <w:tcW w:type="dxa" w:w="3024"/>
          </w:tcPr>
          <w:p>
            <w:r>
              <w:rPr>
                <w:rFonts w:ascii="Times New Roman" w:hAnsi="Times New Roman"/>
                <w:b/>
                <w:sz w:val="20"/>
              </w:rPr>
              <w:t>Wahrscheinlichkeit</w:t>
            </w:r>
          </w:p>
        </w:tc>
        <w:tc>
          <w:tcPr>
            <w:tcW w:type="dxa" w:w="3024"/>
          </w:tcPr>
          <w:p>
            <w:r>
              <w:rPr>
                <w:rFonts w:ascii="Times New Roman" w:hAnsi="Times New Roman"/>
                <w:b/>
                <w:sz w:val="20"/>
              </w:rPr>
              <w:t>Reaktion</w:t>
            </w:r>
          </w:p>
        </w:tc>
      </w:tr>
      <w:tr>
        <w:tc>
          <w:tcPr>
            <w:tcW w:type="dxa" w:w="3024"/>
          </w:tcPr>
          <w:p>
            <w:r>
              <w:rPr>
                <w:rFonts w:ascii="Times New Roman" w:hAnsi="Times New Roman"/>
                <w:sz w:val="20"/>
              </w:rPr>
              <w:t>SWZ veröffentlicht umfangreichen Artikel</w:t>
            </w:r>
          </w:p>
        </w:tc>
        <w:tc>
          <w:tcPr>
            <w:tcW w:type="dxa" w:w="3024"/>
          </w:tcPr>
          <w:p>
            <w:r>
              <w:rPr>
                <w:rFonts w:ascii="Times New Roman" w:hAnsi="Times New Roman"/>
                <w:sz w:val="20"/>
              </w:rPr>
              <w:t>Hoch</w:t>
            </w:r>
          </w:p>
        </w:tc>
        <w:tc>
          <w:tcPr>
            <w:tcW w:type="dxa" w:w="3024"/>
          </w:tcPr>
          <w:p>
            <w:r>
              <w:rPr>
                <w:rFonts w:ascii="Times New Roman" w:hAnsi="Times New Roman"/>
                <w:sz w:val="20"/>
              </w:rPr>
              <w:t>Statement + PM sofort veröffentlichen; GF für Interview bereitstellen</w:t>
            </w:r>
          </w:p>
        </w:tc>
      </w:tr>
      <w:tr>
        <w:tc>
          <w:tcPr>
            <w:tcW w:type="dxa" w:w="3024"/>
          </w:tcPr>
          <w:p>
            <w:r>
              <w:rPr>
                <w:rFonts w:ascii="Times New Roman" w:hAnsi="Times New Roman"/>
                <w:sz w:val="20"/>
              </w:rPr>
              <w:t>Weitere Medien greifen Thema auf</w:t>
            </w:r>
          </w:p>
        </w:tc>
        <w:tc>
          <w:tcPr>
            <w:tcW w:type="dxa" w:w="3024"/>
          </w:tcPr>
          <w:p>
            <w:r>
              <w:rPr>
                <w:rFonts w:ascii="Times New Roman" w:hAnsi="Times New Roman"/>
                <w:sz w:val="20"/>
              </w:rPr>
              <w:t>Mittel</w:t>
            </w:r>
          </w:p>
        </w:tc>
        <w:tc>
          <w:tcPr>
            <w:tcW w:type="dxa" w:w="3024"/>
          </w:tcPr>
          <w:p>
            <w:r>
              <w:rPr>
                <w:rFonts w:ascii="Times New Roman" w:hAnsi="Times New Roman"/>
                <w:sz w:val="20"/>
              </w:rPr>
              <w:t>Einheitliches Q&amp;A an alle Redaktionen; kein Einzelinterview ohne Vorbereitung</w:t>
            </w:r>
          </w:p>
        </w:tc>
      </w:tr>
      <w:tr>
        <w:tc>
          <w:tcPr>
            <w:tcW w:type="dxa" w:w="3024"/>
          </w:tcPr>
          <w:p>
            <w:r>
              <w:rPr>
                <w:rFonts w:ascii="Times New Roman" w:hAnsi="Times New Roman"/>
                <w:sz w:val="20"/>
              </w:rPr>
              <w:t>Strafverfolgungsbehörden treten an die Öffentlichkeit</w:t>
            </w:r>
          </w:p>
        </w:tc>
        <w:tc>
          <w:tcPr>
            <w:tcW w:type="dxa" w:w="3024"/>
          </w:tcPr>
          <w:p>
            <w:r>
              <w:rPr>
                <w:rFonts w:ascii="Times New Roman" w:hAnsi="Times New Roman"/>
                <w:sz w:val="20"/>
              </w:rPr>
              <w:t>Gering</w:t>
            </w:r>
          </w:p>
        </w:tc>
        <w:tc>
          <w:tcPr>
            <w:tcW w:type="dxa" w:w="3024"/>
          </w:tcPr>
          <w:p>
            <w:r>
              <w:rPr>
                <w:rFonts w:ascii="Times New Roman" w:hAnsi="Times New Roman"/>
                <w:sz w:val="20"/>
              </w:rPr>
              <w:t>Kein Kommentar; ausschließlich Verweis auf vollständige Kooperation</w:t>
            </w:r>
          </w:p>
        </w:tc>
      </w:tr>
      <w:tr>
        <w:tc>
          <w:tcPr>
            <w:tcW w:type="dxa" w:w="3024"/>
          </w:tcPr>
          <w:p>
            <w:r>
              <w:rPr>
                <w:rFonts w:ascii="Times New Roman" w:hAnsi="Times New Roman"/>
                <w:sz w:val="20"/>
              </w:rPr>
              <w:t>Großkunde kündigt Vertrag / Beziehung</w:t>
            </w:r>
          </w:p>
        </w:tc>
        <w:tc>
          <w:tcPr>
            <w:tcW w:type="dxa" w:w="3024"/>
          </w:tcPr>
          <w:p>
            <w:r>
              <w:rPr>
                <w:rFonts w:ascii="Times New Roman" w:hAnsi="Times New Roman"/>
                <w:sz w:val="20"/>
              </w:rPr>
              <w:t>Mittel</w:t>
            </w:r>
          </w:p>
        </w:tc>
        <w:tc>
          <w:tcPr>
            <w:tcW w:type="dxa" w:w="3024"/>
          </w:tcPr>
          <w:p>
            <w:r>
              <w:rPr>
                <w:rFonts w:ascii="Times New Roman" w:hAnsi="Times New Roman"/>
                <w:sz w:val="20"/>
              </w:rPr>
              <w:t>Sofortige Direktkommunikation durch GF</w:t>
            </w:r>
          </w:p>
        </w:tc>
      </w:tr>
      <w:tr>
        <w:tc>
          <w:tcPr>
            <w:tcW w:type="dxa" w:w="3024"/>
          </w:tcPr>
          <w:p>
            <w:r>
              <w:rPr>
                <w:rFonts w:ascii="Times New Roman" w:hAnsi="Times New Roman"/>
                <w:sz w:val="20"/>
              </w:rPr>
              <w:t>Aktionärsbedenken (falls Finanzinvestoren)</w:t>
            </w:r>
          </w:p>
        </w:tc>
        <w:tc>
          <w:tcPr>
            <w:tcW w:type="dxa" w:w="3024"/>
          </w:tcPr>
          <w:p>
            <w:r>
              <w:rPr>
                <w:rFonts w:ascii="Times New Roman" w:hAnsi="Times New Roman"/>
                <w:sz w:val="20"/>
              </w:rPr>
              <w:t>Gering</w:t>
            </w:r>
          </w:p>
        </w:tc>
        <w:tc>
          <w:tcPr>
            <w:tcW w:type="dxa" w:w="3024"/>
          </w:tcPr>
          <w:p>
            <w:r>
              <w:rPr>
                <w:rFonts w:ascii="Times New Roman" w:hAnsi="Times New Roman"/>
                <w:sz w:val="20"/>
              </w:rPr>
              <w:t>Investor-Relations-Statement vorbereiten</w:t>
            </w:r>
          </w:p>
        </w:tc>
      </w:tr>
    </w:tbl>
    <w:p/>
    <w:p>
      <w:pPr>
        <w:pStyle w:val="Heading2"/>
      </w:pPr>
      <w:r>
        <w:rPr>
          <w:rFonts w:ascii="Times New Roman" w:hAnsi="Times New Roman"/>
        </w:rPr>
        <w:t>6. Interne Kommunikations-Sperre</w:t>
      </w:r>
    </w:p>
    <w:p>
      <w:pPr>
        <w:jc w:val="left"/>
      </w:pPr>
      <w:r>
        <w:t xml:space="preserve">Alle Mitarbeitern sind angewiesen, </w:t>
      </w:r>
      <w:r>
        <w:rPr>
          <w:b/>
        </w:rPr>
        <w:t>keine</w:t>
      </w:r>
      <w:r>
        <w:t xml:space="preserve"> Aussagen gegenüber Medien, Behörden oder Dritten zu machen, ohne vorherige Abstimmung mit der Syndikusrechtsanwältin oder der Unternehmenskommunikation. Anfragen sofort an Lena Hauser (+49 711 123456-90) weiterleiten.</w:t>
      </w:r>
    </w:p>
    <w:p/>
    <w:p>
      <w:pPr>
        <w:jc w:val="left"/>
      </w:pPr>
      <w:r>
        <w:rPr>
          <w:i/>
        </w:rPr>
        <w:t>GM-PR-2026-005 | Lena Hauser, Head of Communications; Dr. Sabine Brennecke | 14.04.2026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