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02 — Historische Kryptoverwahrungslizenz 2020</w:t>
      </w:r>
    </w:p>
    <w:p>
      <w:pPr>
        <w:jc w:val="left"/>
      </w:pPr>
      <w:r>
        <w:rPr>
          <w:b/>
        </w:rPr>
        <w:t>Datum Zulassung:</w:t>
      </w:r>
      <w:r>
        <w:t xml:space="preserve"> 15. Oktober 2020</w:t>
      </w:r>
    </w:p>
    <w:p>
      <w:pPr>
        <w:jc w:val="left"/>
      </w:pPr>
      <w:r>
        <w:rPr>
          <w:b/>
        </w:rPr>
        <w:t>Aktenzeichen BaFin (historisch):</w:t>
      </w:r>
      <w:r>
        <w:t xml:space="preserve"> VBS 4 1 2-K-24-0118/2020</w:t>
      </w:r>
    </w:p>
    <w:p>
      <w:pPr>
        <w:jc w:val="left"/>
      </w:pPr>
      <w:r>
        <w:rPr>
          <w:b/>
        </w:rPr>
        <w:t>Zugelassenes Geschäft:</w:t>
      </w:r>
      <w:r>
        <w:t xml:space="preserve"> Kryptoverwahrgeschäft gem. § 1 Abs. 1a S. 2 Nr. 6 KWG (in der ab 01.01.2020 gültigen Fassung)</w:t>
      </w:r>
    </w:p>
    <w:p/>
    <w:p>
      <w:pPr>
        <w:pStyle w:val="Heading2"/>
      </w:pPr>
      <w:r>
        <w:rPr>
          <w:rFonts w:ascii="Times New Roman" w:hAnsi="Times New Roman"/>
        </w:rPr>
        <w:t>Gesellschaftsstruktur</w:t>
      </w:r>
    </w:p>
    <w:p>
      <w:pPr>
        <w:jc w:val="left"/>
      </w:pPr>
      <w:r>
        <w:t>Die Thalvenia Bank AG wurde im Jahr 2018 als Thalvenia GmbH gegründet und im Jahr 2019 in eine Aktiengesellschaft nach deutschem Recht umgewandelt. Sitz ist Stuttgart. Die Gesellschaft ist eingetragen im Handelsregister des Amtsgerichts Stuttgart unter HRB 76442.</w:t>
      </w:r>
    </w:p>
    <w:p>
      <w:pPr>
        <w:jc w:val="left"/>
      </w:pPr>
      <w:r>
        <w:rPr>
          <w:b/>
        </w:rPr>
        <w:t>Aktionärsstruktur (Stand März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Aktionär</w:t>
            </w:r>
          </w:p>
        </w:tc>
        <w:tc>
          <w:tcPr>
            <w:tcW w:type="dxa" w:w="4536"/>
          </w:tcPr>
          <w:p>
            <w:r>
              <w:rPr>
                <w:rFonts w:ascii="Times New Roman" w:hAnsi="Times New Roman"/>
                <w:b/>
                <w:sz w:val="20"/>
              </w:rPr>
              <w:t>Anteil</w:t>
            </w:r>
          </w:p>
        </w:tc>
      </w:tr>
      <w:tr>
        <w:tc>
          <w:tcPr>
            <w:tcW w:type="dxa" w:w="4536"/>
          </w:tcPr>
          <w:p>
            <w:r>
              <w:rPr>
                <w:rFonts w:ascii="Times New Roman" w:hAnsi="Times New Roman"/>
                <w:sz w:val="20"/>
              </w:rPr>
              <w:t>Thalheim-Lattermann Familienstiftung, Liechtenstein</w:t>
            </w:r>
          </w:p>
        </w:tc>
        <w:tc>
          <w:tcPr>
            <w:tcW w:type="dxa" w:w="4536"/>
          </w:tcPr>
          <w:p>
            <w:r>
              <w:rPr>
                <w:rFonts w:ascii="Times New Roman" w:hAnsi="Times New Roman"/>
                <w:sz w:val="20"/>
              </w:rPr>
              <w:t>41,2 %</w:t>
            </w:r>
          </w:p>
        </w:tc>
      </w:tr>
      <w:tr>
        <w:tc>
          <w:tcPr>
            <w:tcW w:type="dxa" w:w="4536"/>
          </w:tcPr>
          <w:p>
            <w:r>
              <w:rPr>
                <w:rFonts w:ascii="Times New Roman" w:hAnsi="Times New Roman"/>
                <w:sz w:val="20"/>
              </w:rPr>
              <w:t>Vellbruck Capital GmbH, Frankfurt</w:t>
            </w:r>
          </w:p>
        </w:tc>
        <w:tc>
          <w:tcPr>
            <w:tcW w:type="dxa" w:w="4536"/>
          </w:tcPr>
          <w:p>
            <w:r>
              <w:rPr>
                <w:rFonts w:ascii="Times New Roman" w:hAnsi="Times New Roman"/>
                <w:sz w:val="20"/>
              </w:rPr>
              <w:t>18,7 %</w:t>
            </w:r>
          </w:p>
        </w:tc>
      </w:tr>
      <w:tr>
        <w:tc>
          <w:tcPr>
            <w:tcW w:type="dxa" w:w="4536"/>
          </w:tcPr>
          <w:p>
            <w:r>
              <w:rPr>
                <w:rFonts w:ascii="Times New Roman" w:hAnsi="Times New Roman"/>
                <w:sz w:val="20"/>
              </w:rPr>
              <w:t>Streubesitz (institutionelle Investoren)</w:t>
            </w:r>
          </w:p>
        </w:tc>
        <w:tc>
          <w:tcPr>
            <w:tcW w:type="dxa" w:w="4536"/>
          </w:tcPr>
          <w:p>
            <w:r>
              <w:rPr>
                <w:rFonts w:ascii="Times New Roman" w:hAnsi="Times New Roman"/>
                <w:sz w:val="20"/>
              </w:rPr>
              <w:t>31,4 %</w:t>
            </w:r>
          </w:p>
        </w:tc>
      </w:tr>
      <w:tr>
        <w:tc>
          <w:tcPr>
            <w:tcW w:type="dxa" w:w="4536"/>
          </w:tcPr>
          <w:p>
            <w:r>
              <w:rPr>
                <w:rFonts w:ascii="Times New Roman" w:hAnsi="Times New Roman"/>
                <w:sz w:val="20"/>
              </w:rPr>
              <w:t>Eigene Aktien</w:t>
            </w:r>
          </w:p>
        </w:tc>
        <w:tc>
          <w:tcPr>
            <w:tcW w:type="dxa" w:w="4536"/>
          </w:tcPr>
          <w:p>
            <w:r>
              <w:rPr>
                <w:rFonts w:ascii="Times New Roman" w:hAnsi="Times New Roman"/>
                <w:sz w:val="20"/>
              </w:rPr>
              <w:t>8,7 %</w:t>
            </w:r>
          </w:p>
        </w:tc>
      </w:tr>
    </w:tbl>
    <w:p>
      <w:pPr>
        <w:jc w:val="left"/>
      </w:pPr>
      <w:r>
        <w:t>Kein Aktionär hält eine qualifizierte Beteiligung i.S.d. § 2c KWG, die eine gesonderte Inhaberkontrolle ausgelöst hätte, mit Ausnahme der Thalheim-Lattermann Familienstiftung, deren Beteiligung von der BaFin 2019 geprüft und genehmigt wurde.</w:t>
      </w:r>
    </w:p>
    <w:p/>
    <w:p>
      <w:pPr>
        <w:pStyle w:val="Heading2"/>
      </w:pPr>
      <w:r>
        <w:rPr>
          <w:rFonts w:ascii="Times New Roman" w:hAnsi="Times New Roman"/>
        </w:rPr>
        <w:t>Geschäftsmodell bei Zulassung 2020</w:t>
      </w:r>
    </w:p>
    <w:p>
      <w:pPr>
        <w:jc w:val="left"/>
      </w:pPr>
      <w:r>
        <w:t>Das Institut beantragte 2019 die Zulassung zum Betreiben des Kryptoverwahrgeschäfts i.S.d. § 1 Abs. 1a S. 2 Nr. 6 KWG, das durch das Gesetz zur Umsetzung der Änderungsrichtlinie zur vierten EU-Geldwäscherichtlinie (BGBl. I 2019, S. 2602) mit Wirkung zum 01.01.2020 in das KWG aufgenommen worden war.</w:t>
      </w:r>
    </w:p>
    <w:p>
      <w:pPr>
        <w:jc w:val="left"/>
      </w:pPr>
      <w:r>
        <w:t>Gegenstand des Kryptoverwahrgeschäfts ist die Verwahrung, Verwaltung und Sicherung von Kryptowerten oder privaten kryptografischen Schlüsseln, die dazu dienen, Kryptowerte zu halten, zu speichern oder zu übertragen, für andere (§ 1 Abs. 1a S. 2 Nr. 6 KWG).</w:t>
      </w:r>
    </w:p>
    <w:p>
      <w:pPr>
        <w:jc w:val="left"/>
      </w:pPr>
      <w:r>
        <w:t>Das Institut bot bei Zulassung drei Kerndienste an:</w:t>
      </w:r>
    </w:p>
    <w:p>
      <w:pPr>
        <w:pStyle w:val="ListNumber"/>
      </w:pPr>
      <w:r>
        <w:rPr>
          <w:b/>
        </w:rPr>
        <w:t>Cold-Custody-Dienst</w:t>
      </w:r>
      <w:r>
        <w:t xml:space="preserve"> für institutionelle Anleger (Verwaltung privater Schlüssel in HSM-gesicherter Offline-Umgebung)</w:t>
      </w:r>
    </w:p>
    <w:p>
      <w:pPr>
        <w:pStyle w:val="ListNumber"/>
      </w:pPr>
      <w:r>
        <w:rPr>
          <w:b/>
        </w:rPr>
        <w:t>Multi-Party-Computation (MPC) Signing Service</w:t>
      </w:r>
      <w:r>
        <w:t xml:space="preserve"> für qualifizierte Anleger</w:t>
      </w:r>
    </w:p>
    <w:p>
      <w:pPr>
        <w:pStyle w:val="ListNumber"/>
      </w:pPr>
      <w:r>
        <w:rPr>
          <w:b/>
        </w:rPr>
        <w:t>Staking-as-a-Service</w:t>
      </w:r>
      <w:r>
        <w:t xml:space="preserve"> (ab 2022 hinzugekommen, nachträglich von BaFin toleriert)</w:t>
      </w:r>
    </w:p>
    <w:p>
      <w:pPr>
        <w:jc w:val="left"/>
      </w:pPr>
      <w:r>
        <w:rPr>
          <w:b/>
        </w:rPr>
        <w:t>Bilanzvolumen bei Zulassung:</w:t>
      </w:r>
      <w:r>
        <w:t xml:space="preserve"> Verwaltetes Kundenvermögen rd. EUR 180 Mio.</w:t>
      </w:r>
    </w:p>
    <w:p>
      <w:pPr>
        <w:jc w:val="left"/>
      </w:pPr>
      <w:r>
        <w:rPr>
          <w:b/>
        </w:rPr>
        <w:t>Verwaltetes Kundenvermögen März 2026:</w:t>
      </w:r>
      <w:r>
        <w:t xml:space="preserve"> EUR 4,3 Mrd. (Wachstum durch Institutionalisierung des Kryptomarkts)</w:t>
      </w:r>
    </w:p>
    <w:p/>
    <w:p>
      <w:pPr>
        <w:pStyle w:val="Heading2"/>
      </w:pPr>
      <w:r>
        <w:rPr>
          <w:rFonts w:ascii="Times New Roman" w:hAnsi="Times New Roman"/>
        </w:rPr>
        <w:t>Auflagen bei Zulassung 2020</w:t>
      </w:r>
    </w:p>
    <w:p>
      <w:pPr>
        <w:jc w:val="left"/>
      </w:pPr>
      <w:r>
        <w:t>Die BaFin erteilte die Zulassung unter folgenden Nebenbestimmungen:</w:t>
      </w:r>
    </w:p>
    <w:p>
      <w:pPr>
        <w:pStyle w:val="ListNumber"/>
      </w:pPr>
      <w:r>
        <w:t>Vorlage eines geprüften IT-Sicherheitskonzepts nach BAIT innerhalb von sechs Monaten.</w:t>
      </w:r>
    </w:p>
    <w:p>
      <w:pPr>
        <w:pStyle w:val="ListNumber"/>
      </w:pPr>
      <w:r>
        <w:t>Benennung eines hauptamtlichen Compliance-Officers (CCO) mit ausgewiesener AML-Expertise innerhalb von drei Monaten.</w:t>
      </w:r>
    </w:p>
    <w:p>
      <w:pPr>
        <w:pStyle w:val="ListNumber"/>
      </w:pPr>
      <w:r>
        <w:t>Abschluss einer Betriebshaftpflichtversicherung mit Mindestdeckung EUR 10 Mio. pro Schadensfall.</w:t>
      </w:r>
    </w:p>
    <w:p>
      <w:pPr>
        <w:pStyle w:val="ListNumber"/>
      </w:pPr>
      <w:r>
        <w:t>Jährliche Vorlage eines externen IT-Prüfberichts (SOC 2 Type II oder gleichwertig).</w:t>
      </w:r>
    </w:p>
    <w:p>
      <w:pPr>
        <w:jc w:val="left"/>
      </w:pPr>
      <w:r>
        <w:rPr>
          <w:b/>
        </w:rPr>
        <w:t>Auflagenerfüllung:</w:t>
      </w:r>
      <w:r>
        <w:t xml:space="preserve"> Nach interner Auskunft der Rechtsabteilung wurden die Auflagen 1-3 fristgerecht erfüllt. Auflage 4 (IT-Prüfbericht) wurde für die Prüfjahre 2020-2023 erfüllt; der Bericht für 2024 lag bei Einleitung der Sonderprüfung noch nicht vor — dies ist einer der Anknüpfungspunkte der BaFin-Prüfung.</w:t>
      </w:r>
    </w:p>
    <w:p/>
    <w:p>
      <w:pPr>
        <w:pStyle w:val="Heading2"/>
      </w:pPr>
      <w:r>
        <w:rPr>
          <w:rFonts w:ascii="Times New Roman" w:hAnsi="Times New Roman"/>
        </w:rPr>
        <w:t>Personelle Besetzung des Vorstands</w:t>
      </w:r>
    </w:p>
    <w:p>
      <w:pPr>
        <w:jc w:val="left"/>
      </w:pPr>
      <w:r>
        <w:t>Dr. Cornelius Thalheim-Lattermann (CEO) ist seit Gründung dabei; er war bereits Geschäftsführer der Thalvenia GmbH. Marc Vellbruck (COO) stieß 2021 hinzu. Dr. Annegret Birkenhainer (CRO) wurde 2022 bestellt. Dr. Lasse Tannenfels (CCO) wurde im Oktober 2020, unmittelbar nach Zulassung, bestellt — er war zuvor AML-Officer bei einer Regionalbank.</w:t>
      </w:r>
    </w:p>
    <w:p>
      <w:pPr>
        <w:jc w:val="left"/>
      </w:pPr>
      <w:r>
        <w:t>Die BaFin prüfte die Zuverlässigkeit und fachliche Eignung aller Vorstandsmitglieder nach § 33 Abs. 1 KWG; alle Prüfungen verliefen ohne Beanstandung.</w:t>
      </w:r>
    </w:p>
    <w:p/>
    <w:p>
      <w:pPr>
        <w:pStyle w:val="Heading2"/>
      </w:pPr>
      <w:r>
        <w:rPr>
          <w:rFonts w:ascii="Times New Roman" w:hAnsi="Times New Roman"/>
        </w:rPr>
        <w:t>Relevanz für die Sonderprüfung 2026</w:t>
      </w:r>
    </w:p>
    <w:p>
      <w:pPr>
        <w:jc w:val="left"/>
      </w:pPr>
      <w:r>
        <w:t>Die historische Zulassung ist für das aktuelle Verfahren in mehrfacher Hinsicht relevant:</w:t>
      </w:r>
    </w:p>
    <w:p>
      <w:pPr>
        <w:pStyle w:val="ListBullet"/>
      </w:pPr>
      <w:r>
        <w:t>Die Auflagenlücke beim IT-Prüfbericht 2024 gibt der BaFin einen formalen Ansatzpunkt.</w:t>
      </w:r>
    </w:p>
    <w:p>
      <w:pPr>
        <w:pStyle w:val="ListBullet"/>
      </w:pPr>
      <w:r>
        <w:t>Das Wachstum des verwalteten Kundenvermögens von EUR 180 Mio. auf EUR 4,3 Mrd. hat die Risikoprofile der Kunden grundlegend verändert, ohne dass die AML-Systeme proportional skaliert wurden.</w:t>
      </w:r>
    </w:p>
    <w:p>
      <w:pPr>
        <w:pStyle w:val="ListBullet"/>
      </w:pPr>
      <w:r>
        <w:t>Die ursprünglichen Kundenidentifikationsverfahren stammten aus 2020 und wurden trotz Überarbeitung des GwG und BaFin-Auslegungshinweisen nicht durchgehend aktualisiert.</w:t>
      </w:r>
    </w:p>
    <w:p>
      <w:pPr>
        <w:jc w:val="left"/>
      </w:pPr>
      <w:r>
        <w:t>Vgl. hierzu 07-aml-pflichten-gwg-katalog.md und 08-kundenidentifikation-kyc-mangel.md.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