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Suspicious Transaction Reports und FIU-Verfahren</w:t>
      </w:r>
    </w:p>
    <w:p>
      <w:pPr>
        <w:jc w:val="left"/>
      </w:pPr>
      <w:r>
        <w:rPr>
          <w:b/>
        </w:rPr>
        <w:t>Rechtsgrundlage:</w:t>
      </w:r>
      <w:r>
        <w:t xml:space="preserve"> § 43 GwG (Verdachtsmeldepflicht); § 44 GwG (Verbot der Informationsweitergabe)</w:t>
      </w:r>
    </w:p>
    <w:p>
      <w:pPr>
        <w:jc w:val="left"/>
      </w:pPr>
      <w:r>
        <w:rPr>
          <w:b/>
        </w:rPr>
        <w:t>FIU-Aktenzeichen:</w:t>
      </w:r>
      <w:r>
        <w:t xml:space="preserve"> 2026-FIU-7711-TN</w:t>
      </w:r>
    </w:p>
    <w:p>
      <w:pPr>
        <w:jc w:val="left"/>
      </w:pPr>
      <w:r>
        <w:rPr>
          <w:b/>
        </w:rPr>
        <w:t>FIU-Auskunftsersuchen:</w:t>
      </w:r>
      <w:r>
        <w:t xml:space="preserve"> 22. Februar 2026</w:t>
      </w:r>
    </w:p>
    <w:p>
      <w:pPr>
        <w:jc w:val="left"/>
      </w:pPr>
      <w:r>
        <w:rPr>
          <w:b/>
        </w:rPr>
        <w:t>Antwort Thalvenia:</w:t>
      </w:r>
      <w:r>
        <w:t xml:space="preserve"> 15. März 2026 (über Kanzlei)</w:t>
      </w:r>
    </w:p>
    <w:p/>
    <w:p>
      <w:pPr>
        <w:pStyle w:val="Heading2"/>
      </w:pPr>
      <w:r>
        <w:rPr>
          <w:rFonts w:ascii="Times New Roman" w:hAnsi="Times New Roman"/>
        </w:rPr>
        <w:t>Hintergrund</w:t>
      </w:r>
    </w:p>
    <w:p>
      <w:pPr>
        <w:jc w:val="left"/>
      </w:pPr>
      <w:r>
        <w:t>Die Financial Intelligence Unit (FIU) Deutschland ist als Zentralstelle für Finanztransaktionsuntersuchungen (§ 27 GwG) zuständig für die Entgegennahme, Analyse und Weiterleitung von Verdachtsmeldungen nach § 43 GwG. Sie ist organisatorisch beim Bundeszollamt angesiedelt.</w:t>
      </w:r>
    </w:p>
    <w:p>
      <w:pPr>
        <w:jc w:val="left"/>
      </w:pPr>
      <w:r>
        <w:t>Im Februar 2026 wandte sich die FIU mit einem Auskunftsersuchen an die Thalvenia Bank AG. Hintergrund war eine Auswertung des FIU-Analysesystems (goAML), das Transaktionsmuster im Zusammenhang mit Token TN als potenziell geldwäscherelevant identifiziert hatte. Das FIU-Verfahren ist von der BaFin-Sonderprüfung zu unterscheiden, läuft aber parallel.</w:t>
      </w:r>
    </w:p>
    <w:p/>
    <w:p>
      <w:pPr>
        <w:pStyle w:val="Heading2"/>
      </w:pPr>
      <w:r>
        <w:rPr>
          <w:rFonts w:ascii="Times New Roman" w:hAnsi="Times New Roman"/>
        </w:rPr>
        <w:t>FIU-Auskunftsersuchen (Zusammenfassung)</w:t>
      </w:r>
    </w:p>
    <w:p>
      <w:pPr>
        <w:jc w:val="left"/>
      </w:pPr>
      <w:r>
        <w:t>Das FIU-Ersuchen vom 22. Februar 2026 bezieht sich auf Transaktionen im Zeitraum Oktober 2024 bis Januar 2026. Es fragt ab:</w:t>
      </w:r>
    </w:p>
    <w:p>
      <w:pPr>
        <w:pStyle w:val="ListNumber"/>
      </w:pPr>
      <w:r>
        <w:t>Sämtliche Transaktionsdaten für Token TN aller Kunden</w:t>
      </w:r>
    </w:p>
    <w:p>
      <w:pPr>
        <w:pStyle w:val="ListNumber"/>
      </w:pPr>
      <w:r>
        <w:t>KYC-Dokumentation für Kunden HR-07 und HR-11</w:t>
      </w:r>
    </w:p>
    <w:p>
      <w:pPr>
        <w:pStyle w:val="ListNumber"/>
      </w:pPr>
      <w:r>
        <w:t>Ob und wann Verdachtsmeldungen zu diesen Kunden erstattet wurden</w:t>
      </w:r>
    </w:p>
    <w:p>
      <w:pPr>
        <w:pStyle w:val="ListNumber"/>
      </w:pPr>
      <w:r>
        <w:t>Interne Risikoklassifizierung beider Kunden</w:t>
      </w:r>
    </w:p>
    <w:p>
      <w:pPr>
        <w:pStyle w:val="ListNumber"/>
      </w:pPr>
      <w:r>
        <w:t>Kommunikation zwischen dem Institut und diesen Kunden (transaktionsbezogen)</w:t>
      </w:r>
    </w:p>
    <w:p/>
    <w:p>
      <w:pPr>
        <w:pStyle w:val="Heading2"/>
      </w:pPr>
      <w:r>
        <w:rPr>
          <w:rFonts w:ascii="Times New Roman" w:hAnsi="Times New Roman"/>
        </w:rPr>
        <w:t>Verdachtsmeldungen (§ 43 GwG) — Gesamtübersicht</w:t>
      </w:r>
    </w:p>
    <w:p>
      <w:pPr>
        <w:jc w:val="left"/>
      </w:pPr>
      <w:r>
        <w:t>Im Prüfungszeitraum erstattete Thalvenia drei Verdachtsmeldungen: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Meldungs-Nr.</w:t>
            </w:r>
          </w:p>
        </w:tc>
        <w:tc>
          <w:tcPr>
            <w:tcW w:type="dxa" w:w="1512"/>
          </w:tcPr>
          <w:p>
            <w:r>
              <w:rPr>
                <w:rFonts w:ascii="Times New Roman" w:hAnsi="Times New Roman"/>
                <w:b/>
                <w:sz w:val="20"/>
              </w:rPr>
              <w:t>Datum</w:t>
            </w:r>
          </w:p>
        </w:tc>
        <w:tc>
          <w:tcPr>
            <w:tcW w:type="dxa" w:w="1512"/>
          </w:tcPr>
          <w:p>
            <w:r>
              <w:rPr>
                <w:rFonts w:ascii="Times New Roman" w:hAnsi="Times New Roman"/>
                <w:b/>
                <w:sz w:val="20"/>
              </w:rPr>
              <w:t>Kunde</w:t>
            </w:r>
          </w:p>
        </w:tc>
        <w:tc>
          <w:tcPr>
            <w:tcW w:type="dxa" w:w="1512"/>
          </w:tcPr>
          <w:p>
            <w:r>
              <w:rPr>
                <w:rFonts w:ascii="Times New Roman" w:hAnsi="Times New Roman"/>
                <w:b/>
                <w:sz w:val="20"/>
              </w:rPr>
              <w:t>Transaktionsbetrag</w:t>
            </w:r>
          </w:p>
        </w:tc>
        <w:tc>
          <w:tcPr>
            <w:tcW w:type="dxa" w:w="1512"/>
          </w:tcPr>
          <w:p>
            <w:r>
              <w:rPr>
                <w:rFonts w:ascii="Times New Roman" w:hAnsi="Times New Roman"/>
                <w:b/>
                <w:sz w:val="20"/>
              </w:rPr>
              <w:t>Verdachtsgrund</w:t>
            </w:r>
          </w:p>
        </w:tc>
        <w:tc>
          <w:tcPr>
            <w:tcW w:type="dxa" w:w="1512"/>
          </w:tcPr>
          <w:p>
            <w:r>
              <w:rPr>
                <w:rFonts w:ascii="Times New Roman" w:hAnsi="Times New Roman"/>
                <w:b/>
                <w:sz w:val="20"/>
              </w:rPr>
              <w:t>FIU-Bestätigung</w:t>
            </w:r>
          </w:p>
        </w:tc>
      </w:tr>
      <w:tr>
        <w:tc>
          <w:tcPr>
            <w:tcW w:type="dxa" w:w="1512"/>
          </w:tcPr>
          <w:p>
            <w:r>
              <w:rPr>
                <w:rFonts w:ascii="Times New Roman" w:hAnsi="Times New Roman"/>
                <w:sz w:val="20"/>
              </w:rPr>
              <w:t>STR-2025-001</w:t>
            </w:r>
          </w:p>
        </w:tc>
        <w:tc>
          <w:tcPr>
            <w:tcW w:type="dxa" w:w="1512"/>
          </w:tcPr>
          <w:p>
            <w:r>
              <w:rPr>
                <w:rFonts w:ascii="Times New Roman" w:hAnsi="Times New Roman"/>
                <w:sz w:val="20"/>
              </w:rPr>
              <w:t>12. März 2025</w:t>
            </w:r>
          </w:p>
        </w:tc>
        <w:tc>
          <w:tcPr>
            <w:tcW w:type="dxa" w:w="1512"/>
          </w:tcPr>
          <w:p>
            <w:r>
              <w:rPr>
                <w:rFonts w:ascii="Times New Roman" w:hAnsi="Times New Roman"/>
                <w:sz w:val="20"/>
              </w:rPr>
              <w:t>HR-07</w:t>
            </w:r>
          </w:p>
        </w:tc>
        <w:tc>
          <w:tcPr>
            <w:tcW w:type="dxa" w:w="1512"/>
          </w:tcPr>
          <w:p>
            <w:r>
              <w:rPr>
                <w:rFonts w:ascii="Times New Roman" w:hAnsi="Times New Roman"/>
                <w:sz w:val="20"/>
              </w:rPr>
              <w:t>EUR 2,1 Mio.</w:t>
            </w:r>
          </w:p>
        </w:tc>
        <w:tc>
          <w:tcPr>
            <w:tcW w:type="dxa" w:w="1512"/>
          </w:tcPr>
          <w:p>
            <w:r>
              <w:rPr>
                <w:rFonts w:ascii="Times New Roman" w:hAnsi="Times New Roman"/>
                <w:sz w:val="20"/>
              </w:rPr>
              <w:t>Ungewöhnliche Herkunft</w:t>
            </w:r>
          </w:p>
        </w:tc>
        <w:tc>
          <w:tcPr>
            <w:tcW w:type="dxa" w:w="1512"/>
          </w:tcPr>
          <w:p>
            <w:r>
              <w:rPr>
                <w:rFonts w:ascii="Times New Roman" w:hAnsi="Times New Roman"/>
                <w:sz w:val="20"/>
              </w:rPr>
              <w:t>15. März 2025</w:t>
            </w:r>
          </w:p>
        </w:tc>
      </w:tr>
      <w:tr>
        <w:tc>
          <w:tcPr>
            <w:tcW w:type="dxa" w:w="1512"/>
          </w:tcPr>
          <w:p>
            <w:r>
              <w:rPr>
                <w:rFonts w:ascii="Times New Roman" w:hAnsi="Times New Roman"/>
                <w:sz w:val="20"/>
              </w:rPr>
              <w:t>STR-2025-002</w:t>
            </w:r>
          </w:p>
        </w:tc>
        <w:tc>
          <w:tcPr>
            <w:tcW w:type="dxa" w:w="1512"/>
          </w:tcPr>
          <w:p>
            <w:r>
              <w:rPr>
                <w:rFonts w:ascii="Times New Roman" w:hAnsi="Times New Roman"/>
                <w:sz w:val="20"/>
              </w:rPr>
              <w:t>30. August 2025</w:t>
            </w:r>
          </w:p>
        </w:tc>
        <w:tc>
          <w:tcPr>
            <w:tcW w:type="dxa" w:w="1512"/>
          </w:tcPr>
          <w:p>
            <w:r>
              <w:rPr>
                <w:rFonts w:ascii="Times New Roman" w:hAnsi="Times New Roman"/>
                <w:sz w:val="20"/>
              </w:rPr>
              <w:t>Nicht offenbart</w:t>
            </w:r>
          </w:p>
        </w:tc>
        <w:tc>
          <w:tcPr>
            <w:tcW w:type="dxa" w:w="1512"/>
          </w:tcPr>
          <w:p>
            <w:r>
              <w:rPr>
                <w:rFonts w:ascii="Times New Roman" w:hAnsi="Times New Roman"/>
                <w:sz w:val="20"/>
              </w:rPr>
              <w:t>EUR 450.000</w:t>
            </w:r>
          </w:p>
        </w:tc>
        <w:tc>
          <w:tcPr>
            <w:tcW w:type="dxa" w:w="1512"/>
          </w:tcPr>
          <w:p>
            <w:r>
              <w:rPr>
                <w:rFonts w:ascii="Times New Roman" w:hAnsi="Times New Roman"/>
                <w:sz w:val="20"/>
              </w:rPr>
              <w:t>Verschleierungsstruktur</w:t>
            </w:r>
          </w:p>
        </w:tc>
        <w:tc>
          <w:tcPr>
            <w:tcW w:type="dxa" w:w="1512"/>
          </w:tcPr>
          <w:p>
            <w:r>
              <w:rPr>
                <w:rFonts w:ascii="Times New Roman" w:hAnsi="Times New Roman"/>
                <w:sz w:val="20"/>
              </w:rPr>
              <w:t>02. September 2025</w:t>
            </w:r>
          </w:p>
        </w:tc>
      </w:tr>
      <w:tr>
        <w:tc>
          <w:tcPr>
            <w:tcW w:type="dxa" w:w="1512"/>
          </w:tcPr>
          <w:p>
            <w:r>
              <w:rPr>
                <w:rFonts w:ascii="Times New Roman" w:hAnsi="Times New Roman"/>
                <w:sz w:val="20"/>
              </w:rPr>
              <w:t>STR-2026-001</w:t>
            </w:r>
          </w:p>
        </w:tc>
        <w:tc>
          <w:tcPr>
            <w:tcW w:type="dxa" w:w="1512"/>
          </w:tcPr>
          <w:p>
            <w:r>
              <w:rPr>
                <w:rFonts w:ascii="Times New Roman" w:hAnsi="Times New Roman"/>
                <w:sz w:val="20"/>
              </w:rPr>
              <w:t>18. Januar 2026</w:t>
            </w:r>
          </w:p>
        </w:tc>
        <w:tc>
          <w:tcPr>
            <w:tcW w:type="dxa" w:w="1512"/>
          </w:tcPr>
          <w:p>
            <w:r>
              <w:rPr>
                <w:rFonts w:ascii="Times New Roman" w:hAnsi="Times New Roman"/>
                <w:sz w:val="20"/>
              </w:rPr>
              <w:t>HR-11</w:t>
            </w:r>
          </w:p>
        </w:tc>
        <w:tc>
          <w:tcPr>
            <w:tcW w:type="dxa" w:w="1512"/>
          </w:tcPr>
          <w:p>
            <w:r>
              <w:rPr>
                <w:rFonts w:ascii="Times New Roman" w:hAnsi="Times New Roman"/>
                <w:sz w:val="20"/>
              </w:rPr>
              <w:t>EUR 680.000</w:t>
            </w:r>
          </w:p>
        </w:tc>
        <w:tc>
          <w:tcPr>
            <w:tcW w:type="dxa" w:w="1512"/>
          </w:tcPr>
          <w:p>
            <w:r>
              <w:rPr>
                <w:rFonts w:ascii="Times New Roman" w:hAnsi="Times New Roman"/>
                <w:sz w:val="20"/>
              </w:rPr>
              <w:t>Sanktionslisten-Treffer (Nachtragsscreening)</w:t>
            </w:r>
          </w:p>
        </w:tc>
        <w:tc>
          <w:tcPr>
            <w:tcW w:type="dxa" w:w="1512"/>
          </w:tcPr>
          <w:p>
            <w:r>
              <w:rPr>
                <w:rFonts w:ascii="Times New Roman" w:hAnsi="Times New Roman"/>
                <w:sz w:val="20"/>
              </w:rPr>
              <w:t>21. Januar 2026</w:t>
            </w:r>
          </w:p>
        </w:tc>
      </w:tr>
    </w:tbl>
    <w:p/>
    <w:p>
      <w:pPr>
        <w:pStyle w:val="Heading2"/>
      </w:pPr>
      <w:r>
        <w:rPr>
          <w:rFonts w:ascii="Times New Roman" w:hAnsi="Times New Roman"/>
        </w:rPr>
        <w:t>Unterlassene Verdachtsmeldungen — Befund BaFin</w:t>
      </w:r>
    </w:p>
    <w:p>
      <w:pPr>
        <w:jc w:val="left"/>
      </w:pPr>
      <w:r>
        <w:t>Die BaFin-Prüferin identifizierte im Transaktionsmonitoring-System 14 weitere Transaktionen mit automatisch erzeugten Auffälligkeitshinweisen (Flags), die nicht zur Meldung führten. Für fünf davon empfiehlt die Prüferin eine Prüfung, ob eine Meldepflicht ausgelöst wurde: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Flagge</w:t>
            </w:r>
          </w:p>
        </w:tc>
        <w:tc>
          <w:tcPr>
            <w:tcW w:type="dxa" w:w="1296"/>
          </w:tcPr>
          <w:p>
            <w:r>
              <w:rPr>
                <w:rFonts w:ascii="Times New Roman" w:hAnsi="Times New Roman"/>
                <w:b/>
                <w:sz w:val="20"/>
              </w:rPr>
              <w:t>Datum</w:t>
            </w:r>
          </w:p>
        </w:tc>
        <w:tc>
          <w:tcPr>
            <w:tcW w:type="dxa" w:w="1296"/>
          </w:tcPr>
          <w:p>
            <w:r>
              <w:rPr>
                <w:rFonts w:ascii="Times New Roman" w:hAnsi="Times New Roman"/>
                <w:b/>
                <w:sz w:val="20"/>
              </w:rPr>
              <w:t>Kunde</w:t>
            </w:r>
          </w:p>
        </w:tc>
        <w:tc>
          <w:tcPr>
            <w:tcW w:type="dxa" w:w="1296"/>
          </w:tcPr>
          <w:p>
            <w:r>
              <w:rPr>
                <w:rFonts w:ascii="Times New Roman" w:hAnsi="Times New Roman"/>
                <w:b/>
                <w:sz w:val="20"/>
              </w:rPr>
              <w:t>Betrag</w:t>
            </w:r>
          </w:p>
        </w:tc>
        <w:tc>
          <w:tcPr>
            <w:tcW w:type="dxa" w:w="1296"/>
          </w:tcPr>
          <w:p>
            <w:r>
              <w:rPr>
                <w:rFonts w:ascii="Times New Roman" w:hAnsi="Times New Roman"/>
                <w:b/>
                <w:sz w:val="20"/>
              </w:rPr>
              <w:t>Auffälligkeit</w:t>
            </w:r>
          </w:p>
        </w:tc>
        <w:tc>
          <w:tcPr>
            <w:tcW w:type="dxa" w:w="1296"/>
          </w:tcPr>
          <w:p>
            <w:r>
              <w:rPr>
                <w:rFonts w:ascii="Times New Roman" w:hAnsi="Times New Roman"/>
                <w:b/>
                <w:sz w:val="20"/>
              </w:rPr>
              <w:t>Interne Entscheidung</w:t>
            </w:r>
          </w:p>
        </w:tc>
        <w:tc>
          <w:tcPr>
            <w:tcW w:type="dxa" w:w="1296"/>
          </w:tcPr>
          <w:p>
            <w:r>
              <w:rPr>
                <w:rFonts w:ascii="Times New Roman" w:hAnsi="Times New Roman"/>
                <w:b/>
                <w:sz w:val="20"/>
              </w:rPr>
              <w:t>BaFin-Einschätzung</w:t>
            </w:r>
          </w:p>
        </w:tc>
      </w:tr>
      <w:tr>
        <w:tc>
          <w:tcPr>
            <w:tcW w:type="dxa" w:w="1296"/>
          </w:tcPr>
          <w:p>
            <w:r>
              <w:rPr>
                <w:rFonts w:ascii="Times New Roman" w:hAnsi="Times New Roman"/>
                <w:sz w:val="20"/>
              </w:rPr>
              <w:t>TRX-2024-0487</w:t>
            </w:r>
          </w:p>
        </w:tc>
        <w:tc>
          <w:tcPr>
            <w:tcW w:type="dxa" w:w="1296"/>
          </w:tcPr>
          <w:p>
            <w:r>
              <w:rPr>
                <w:rFonts w:ascii="Times New Roman" w:hAnsi="Times New Roman"/>
                <w:sz w:val="20"/>
              </w:rPr>
              <w:t>15.10.2024</w:t>
            </w:r>
          </w:p>
        </w:tc>
        <w:tc>
          <w:tcPr>
            <w:tcW w:type="dxa" w:w="1296"/>
          </w:tcPr>
          <w:p>
            <w:r>
              <w:rPr>
                <w:rFonts w:ascii="Times New Roman" w:hAnsi="Times New Roman"/>
                <w:sz w:val="20"/>
              </w:rPr>
              <w:t>HR-07</w:t>
            </w:r>
          </w:p>
        </w:tc>
        <w:tc>
          <w:tcPr>
            <w:tcW w:type="dxa" w:w="1296"/>
          </w:tcPr>
          <w:p>
            <w:r>
              <w:rPr>
                <w:rFonts w:ascii="Times New Roman" w:hAnsi="Times New Roman"/>
                <w:sz w:val="20"/>
              </w:rPr>
              <w:t>EUR 1,8 Mio.</w:t>
            </w:r>
          </w:p>
        </w:tc>
        <w:tc>
          <w:tcPr>
            <w:tcW w:type="dxa" w:w="1296"/>
          </w:tcPr>
          <w:p>
            <w:r>
              <w:rPr>
                <w:rFonts w:ascii="Times New Roman" w:hAnsi="Times New Roman"/>
                <w:sz w:val="20"/>
              </w:rPr>
              <w:t>Rapid movement aus Cold Wallet</w:t>
            </w:r>
          </w:p>
        </w:tc>
        <w:tc>
          <w:tcPr>
            <w:tcW w:type="dxa" w:w="1296"/>
          </w:tcPr>
          <w:p>
            <w:r>
              <w:rPr>
                <w:rFonts w:ascii="Times New Roman" w:hAnsi="Times New Roman"/>
                <w:sz w:val="20"/>
              </w:rPr>
              <w:t>Kein Verdacht (interner Vermerk)</w:t>
            </w:r>
          </w:p>
        </w:tc>
        <w:tc>
          <w:tcPr>
            <w:tcW w:type="dxa" w:w="1296"/>
          </w:tcPr>
          <w:p>
            <w:r>
              <w:rPr>
                <w:rFonts w:ascii="Times New Roman" w:hAnsi="Times New Roman"/>
                <w:sz w:val="20"/>
              </w:rPr>
              <w:t>Meldepflicht möglicherweise ausgelöst</w:t>
            </w:r>
          </w:p>
        </w:tc>
      </w:tr>
      <w:tr>
        <w:tc>
          <w:tcPr>
            <w:tcW w:type="dxa" w:w="1296"/>
          </w:tcPr>
          <w:p>
            <w:r>
              <w:rPr>
                <w:rFonts w:ascii="Times New Roman" w:hAnsi="Times New Roman"/>
                <w:sz w:val="20"/>
              </w:rPr>
              <w:t>TRX-2024-0612</w:t>
            </w:r>
          </w:p>
        </w:tc>
        <w:tc>
          <w:tcPr>
            <w:tcW w:type="dxa" w:w="1296"/>
          </w:tcPr>
          <w:p>
            <w:r>
              <w:rPr>
                <w:rFonts w:ascii="Times New Roman" w:hAnsi="Times New Roman"/>
                <w:sz w:val="20"/>
              </w:rPr>
              <w:t>22.11.2024</w:t>
            </w:r>
          </w:p>
        </w:tc>
        <w:tc>
          <w:tcPr>
            <w:tcW w:type="dxa" w:w="1296"/>
          </w:tcPr>
          <w:p>
            <w:r>
              <w:rPr>
                <w:rFonts w:ascii="Times New Roman" w:hAnsi="Times New Roman"/>
                <w:sz w:val="20"/>
              </w:rPr>
              <w:t>HR-07</w:t>
            </w:r>
          </w:p>
        </w:tc>
        <w:tc>
          <w:tcPr>
            <w:tcW w:type="dxa" w:w="1296"/>
          </w:tcPr>
          <w:p>
            <w:r>
              <w:rPr>
                <w:rFonts w:ascii="Times New Roman" w:hAnsi="Times New Roman"/>
                <w:sz w:val="20"/>
              </w:rPr>
              <w:t>EUR 3,4 Mio.</w:t>
            </w:r>
          </w:p>
        </w:tc>
        <w:tc>
          <w:tcPr>
            <w:tcW w:type="dxa" w:w="1296"/>
          </w:tcPr>
          <w:p>
            <w:r>
              <w:rPr>
                <w:rFonts w:ascii="Times New Roman" w:hAnsi="Times New Roman"/>
                <w:sz w:val="20"/>
              </w:rPr>
              <w:t>Splitting-Muster</w:t>
            </w:r>
          </w:p>
        </w:tc>
        <w:tc>
          <w:tcPr>
            <w:tcW w:type="dxa" w:w="1296"/>
          </w:tcPr>
          <w:p>
            <w:r>
              <w:rPr>
                <w:rFonts w:ascii="Times New Roman" w:hAnsi="Times New Roman"/>
                <w:sz w:val="20"/>
              </w:rPr>
              <w:t>Kein Verdacht</w:t>
            </w:r>
          </w:p>
        </w:tc>
        <w:tc>
          <w:tcPr>
            <w:tcW w:type="dxa" w:w="1296"/>
          </w:tcPr>
          <w:p>
            <w:r>
              <w:rPr>
                <w:rFonts w:ascii="Times New Roman" w:hAnsi="Times New Roman"/>
                <w:sz w:val="20"/>
              </w:rPr>
              <w:t>Meldepflicht möglicherweise ausgelöst</w:t>
            </w:r>
          </w:p>
        </w:tc>
      </w:tr>
      <w:tr>
        <w:tc>
          <w:tcPr>
            <w:tcW w:type="dxa" w:w="1296"/>
          </w:tcPr>
          <w:p>
            <w:r>
              <w:rPr>
                <w:rFonts w:ascii="Times New Roman" w:hAnsi="Times New Roman"/>
                <w:sz w:val="20"/>
              </w:rPr>
              <w:t>TRX-2025-0089</w:t>
            </w:r>
          </w:p>
        </w:tc>
        <w:tc>
          <w:tcPr>
            <w:tcW w:type="dxa" w:w="1296"/>
          </w:tcPr>
          <w:p>
            <w:r>
              <w:rPr>
                <w:rFonts w:ascii="Times New Roman" w:hAnsi="Times New Roman"/>
                <w:sz w:val="20"/>
              </w:rPr>
              <w:t>10.02.2025</w:t>
            </w:r>
          </w:p>
        </w:tc>
        <w:tc>
          <w:tcPr>
            <w:tcW w:type="dxa" w:w="1296"/>
          </w:tcPr>
          <w:p>
            <w:r>
              <w:rPr>
                <w:rFonts w:ascii="Times New Roman" w:hAnsi="Times New Roman"/>
                <w:sz w:val="20"/>
              </w:rPr>
              <w:t>HR-03</w:t>
            </w:r>
          </w:p>
        </w:tc>
        <w:tc>
          <w:tcPr>
            <w:tcW w:type="dxa" w:w="1296"/>
          </w:tcPr>
          <w:p>
            <w:r>
              <w:rPr>
                <w:rFonts w:ascii="Times New Roman" w:hAnsi="Times New Roman"/>
                <w:sz w:val="20"/>
              </w:rPr>
              <w:t>EUR 900.000</w:t>
            </w:r>
          </w:p>
        </w:tc>
        <w:tc>
          <w:tcPr>
            <w:tcW w:type="dxa" w:w="1296"/>
          </w:tcPr>
          <w:p>
            <w:r>
              <w:rPr>
                <w:rFonts w:ascii="Times New Roman" w:hAnsi="Times New Roman"/>
                <w:sz w:val="20"/>
              </w:rPr>
              <w:t>Ursprung Darknet-assoziierte Adressen</w:t>
            </w:r>
          </w:p>
        </w:tc>
        <w:tc>
          <w:tcPr>
            <w:tcW w:type="dxa" w:w="1296"/>
          </w:tcPr>
          <w:p>
            <w:r>
              <w:rPr>
                <w:rFonts w:ascii="Times New Roman" w:hAnsi="Times New Roman"/>
                <w:sz w:val="20"/>
              </w:rPr>
              <w:t>"Falsch positiv"</w:t>
            </w:r>
          </w:p>
        </w:tc>
        <w:tc>
          <w:tcPr>
            <w:tcW w:type="dxa" w:w="1296"/>
          </w:tcPr>
          <w:p>
            <w:r>
              <w:rPr>
                <w:rFonts w:ascii="Times New Roman" w:hAnsi="Times New Roman"/>
                <w:sz w:val="20"/>
              </w:rPr>
              <w:t>Befund schwerwiegend</w:t>
            </w:r>
          </w:p>
        </w:tc>
      </w:tr>
      <w:tr>
        <w:tc>
          <w:tcPr>
            <w:tcW w:type="dxa" w:w="1296"/>
          </w:tcPr>
          <w:p>
            <w:r>
              <w:rPr>
                <w:rFonts w:ascii="Times New Roman" w:hAnsi="Times New Roman"/>
                <w:sz w:val="20"/>
              </w:rPr>
              <w:t>TRX-2025-0341</w:t>
            </w:r>
          </w:p>
        </w:tc>
        <w:tc>
          <w:tcPr>
            <w:tcW w:type="dxa" w:w="1296"/>
          </w:tcPr>
          <w:p>
            <w:r>
              <w:rPr>
                <w:rFonts w:ascii="Times New Roman" w:hAnsi="Times New Roman"/>
                <w:sz w:val="20"/>
              </w:rPr>
              <w:t>05.06.2025</w:t>
            </w:r>
          </w:p>
        </w:tc>
        <w:tc>
          <w:tcPr>
            <w:tcW w:type="dxa" w:w="1296"/>
          </w:tcPr>
          <w:p>
            <w:r>
              <w:rPr>
                <w:rFonts w:ascii="Times New Roman" w:hAnsi="Times New Roman"/>
                <w:sz w:val="20"/>
              </w:rPr>
              <w:t>HR-19</w:t>
            </w:r>
          </w:p>
        </w:tc>
        <w:tc>
          <w:tcPr>
            <w:tcW w:type="dxa" w:w="1296"/>
          </w:tcPr>
          <w:p>
            <w:r>
              <w:rPr>
                <w:rFonts w:ascii="Times New Roman" w:hAnsi="Times New Roman"/>
                <w:sz w:val="20"/>
              </w:rPr>
              <w:t>EUR 4,1 Mio.</w:t>
            </w:r>
          </w:p>
        </w:tc>
        <w:tc>
          <w:tcPr>
            <w:tcW w:type="dxa" w:w="1296"/>
          </w:tcPr>
          <w:p>
            <w:r>
              <w:rPr>
                <w:rFonts w:ascii="Times New Roman" w:hAnsi="Times New Roman"/>
                <w:sz w:val="20"/>
              </w:rPr>
              <w:t>Wirtschaftlicher Zweck unklar</w:t>
            </w:r>
          </w:p>
        </w:tc>
        <w:tc>
          <w:tcPr>
            <w:tcW w:type="dxa" w:w="1296"/>
          </w:tcPr>
          <w:p>
            <w:r>
              <w:rPr>
                <w:rFonts w:ascii="Times New Roman" w:hAnsi="Times New Roman"/>
                <w:sz w:val="20"/>
              </w:rPr>
              <w:t>Kein Verdacht</w:t>
            </w:r>
          </w:p>
        </w:tc>
        <w:tc>
          <w:tcPr>
            <w:tcW w:type="dxa" w:w="1296"/>
          </w:tcPr>
          <w:p>
            <w:r>
              <w:rPr>
                <w:rFonts w:ascii="Times New Roman" w:hAnsi="Times New Roman"/>
                <w:sz w:val="20"/>
              </w:rPr>
              <w:t>Meldepflicht möglicherweise ausgelöst</w:t>
            </w:r>
          </w:p>
        </w:tc>
      </w:tr>
      <w:tr>
        <w:tc>
          <w:tcPr>
            <w:tcW w:type="dxa" w:w="1296"/>
          </w:tcPr>
          <w:p>
            <w:r>
              <w:rPr>
                <w:rFonts w:ascii="Times New Roman" w:hAnsi="Times New Roman"/>
                <w:sz w:val="20"/>
              </w:rPr>
              <w:t>TRX-2026-0044</w:t>
            </w:r>
          </w:p>
        </w:tc>
        <w:tc>
          <w:tcPr>
            <w:tcW w:type="dxa" w:w="1296"/>
          </w:tcPr>
          <w:p>
            <w:r>
              <w:rPr>
                <w:rFonts w:ascii="Times New Roman" w:hAnsi="Times New Roman"/>
                <w:sz w:val="20"/>
              </w:rPr>
              <w:t>07.01.2026</w:t>
            </w:r>
          </w:p>
        </w:tc>
        <w:tc>
          <w:tcPr>
            <w:tcW w:type="dxa" w:w="1296"/>
          </w:tcPr>
          <w:p>
            <w:r>
              <w:rPr>
                <w:rFonts w:ascii="Times New Roman" w:hAnsi="Times New Roman"/>
                <w:sz w:val="20"/>
              </w:rPr>
              <w:t>HR-07</w:t>
            </w:r>
          </w:p>
        </w:tc>
        <w:tc>
          <w:tcPr>
            <w:tcW w:type="dxa" w:w="1296"/>
          </w:tcPr>
          <w:p>
            <w:r>
              <w:rPr>
                <w:rFonts w:ascii="Times New Roman" w:hAnsi="Times New Roman"/>
                <w:sz w:val="20"/>
              </w:rPr>
              <w:t>EUR 2,2 Mio.</w:t>
            </w:r>
          </w:p>
        </w:tc>
        <w:tc>
          <w:tcPr>
            <w:tcW w:type="dxa" w:w="1296"/>
          </w:tcPr>
          <w:p>
            <w:r>
              <w:rPr>
                <w:rFonts w:ascii="Times New Roman" w:hAnsi="Times New Roman"/>
                <w:sz w:val="20"/>
              </w:rPr>
              <w:t>Zeitnahe Token-TN-Transaktionen (Pre-Cybervorfall)</w:t>
            </w:r>
          </w:p>
        </w:tc>
        <w:tc>
          <w:tcPr>
            <w:tcW w:type="dxa" w:w="1296"/>
          </w:tcPr>
          <w:p>
            <w:r>
              <w:rPr>
                <w:rFonts w:ascii="Times New Roman" w:hAnsi="Times New Roman"/>
                <w:sz w:val="20"/>
              </w:rPr>
              <w:t>Nicht bewertet</w:t>
            </w:r>
          </w:p>
        </w:tc>
        <w:tc>
          <w:tcPr>
            <w:tcW w:type="dxa" w:w="1296"/>
          </w:tcPr>
          <w:p>
            <w:r>
              <w:rPr>
                <w:rFonts w:ascii="Times New Roman" w:hAnsi="Times New Roman"/>
                <w:sz w:val="20"/>
              </w:rPr>
              <w:t>Zusammenhang mit MAR-Verfahren</w:t>
            </w:r>
          </w:p>
        </w:tc>
      </w:tr>
    </w:tbl>
    <w:p/>
    <w:p>
      <w:pPr>
        <w:pStyle w:val="Heading2"/>
      </w:pPr>
      <w:r>
        <w:rPr>
          <w:rFonts w:ascii="Times New Roman" w:hAnsi="Times New Roman"/>
        </w:rPr>
        <w:t>Verbot der Informationsweitergabe (§ 44 GwG)</w:t>
      </w:r>
    </w:p>
    <w:p>
      <w:pPr>
        <w:jc w:val="left"/>
      </w:pPr>
      <w:r>
        <w:t>Die Kanzlei weist darauf hin, dass die laufenden FIU-Ermittlungen unter das Tipping-off-Verbot des § 44 GwG fallen. Kunden dürfen nicht darüber informiert werden, dass gegen sie oder ihre Transaktionen eine Verdachtsmeldung erstattet wurde oder dass die FIU ermittelt. Dies schränkt die Kommunikation mit den betroffenen Kunden erheblich ein.</w:t>
      </w:r>
    </w:p>
    <w:p>
      <w:pPr>
        <w:jc w:val="left"/>
      </w:pPr>
      <w:r>
        <w:t>Im Fall der Kunden HR-07 und HR-11 wurde sichergestellt, dass keine Informationen über die FIU-Anfrage nach außen gedrungen sind.</w:t>
      </w:r>
    </w:p>
    <w:p/>
    <w:p>
      <w:pPr>
        <w:pStyle w:val="Heading2"/>
      </w:pPr>
      <w:r>
        <w:rPr>
          <w:rFonts w:ascii="Times New Roman" w:hAnsi="Times New Roman"/>
        </w:rPr>
        <w:t>Bewertung und Risiko</w:t>
      </w:r>
    </w:p>
    <w:p>
      <w:pPr>
        <w:jc w:val="left"/>
      </w:pPr>
      <w:r>
        <w:t>Die FIU hat in ihrem Ersuchen signalisiert, dass bei einer Weiterleitung der Informationen an Strafverfolgungsbehörden (§ 32 GwG) eine Strafverfolgung wegen § 261 StGB (Geldwäsche) gegen Verantwortliche des Instituts — nicht nur gegen CCO Dr. Tannenfels — möglich sei. Dies erhöht den Druck auf das Institut erheblich.</w:t>
      </w:r>
    </w:p>
    <w:p>
      <w:pPr>
        <w:jc w:val="left"/>
      </w:pPr>
      <w:r>
        <w:rPr>
          <w:b/>
        </w:rPr>
        <w:t>Vgl.:</w:t>
      </w:r>
      <w:r>
        <w:t xml:space="preserve"> 16-individual-strafverfahren-vorstand.md; 11-mar-marktmissbrauch-vorwurf-token-tn.md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