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BaFin-Anhörung Juli 2026</w:t>
      </w:r>
    </w:p>
    <w:p>
      <w:pPr>
        <w:jc w:val="left"/>
      </w:pPr>
      <w:r>
        <w:rPr>
          <w:b/>
        </w:rPr>
        <w:t>Aktenzeichen:</w:t>
      </w:r>
      <w:r>
        <w:t xml:space="preserve"> BaFin VBS 4 1 7-K-22-188/2026</w:t>
      </w:r>
    </w:p>
    <w:p>
      <w:pPr>
        <w:jc w:val="left"/>
      </w:pPr>
      <w:r>
        <w:rPr>
          <w:b/>
        </w:rPr>
        <w:t>Anhörungsschreiben:</w:t>
      </w:r>
      <w:r>
        <w:t xml:space="preserve"> 14. Juli 2026</w:t>
      </w:r>
    </w:p>
    <w:p>
      <w:pPr>
        <w:jc w:val="left"/>
      </w:pPr>
      <w:r>
        <w:rPr>
          <w:b/>
        </w:rPr>
        <w:t>Frist Stellungnahme:</w:t>
      </w:r>
      <w:r>
        <w:t xml:space="preserve"> 28. Juli 2026</w:t>
      </w:r>
    </w:p>
    <w:p>
      <w:pPr>
        <w:jc w:val="left"/>
      </w:pPr>
      <w:r>
        <w:rPr>
          <w:b/>
        </w:rPr>
        <w:t>Rechtsgrundlage:</w:t>
      </w:r>
      <w:r>
        <w:t xml:space="preserve"> § 28 Abs. 1 VwVfG (rechtliches Gehör vor Erlass belastender Verwaltungsakte)</w:t>
      </w:r>
    </w:p>
    <w:p/>
    <w:p>
      <w:pPr>
        <w:pStyle w:val="Heading2"/>
      </w:pPr>
      <w:r>
        <w:rPr>
          <w:rFonts w:ascii="Times New Roman" w:hAnsi="Times New Roman"/>
        </w:rPr>
        <w:t>Inhalt des Anhörungsschreibens</w:t>
      </w:r>
    </w:p>
    <w:p>
      <w:pPr>
        <w:jc w:val="left"/>
      </w:pPr>
      <w:r>
        <w:t>Das Anhörungsschreiben der BaFin (unterzeichnet Dr. Hannelore Kösters, Referat VBS 4) fasst die vorläufigen Prüfungsfeststellungen zusammen und kündigt folgende beabsichtigte Maßnahmen an:</w:t>
      </w:r>
    </w:p>
    <w:p>
      <w:pPr>
        <w:pStyle w:val="Heading3"/>
      </w:pPr>
      <w:r>
        <w:rPr>
          <w:rFonts w:ascii="Times New Roman" w:hAnsi="Times New Roman"/>
        </w:rPr>
        <w:t>Beabsichtigte Maßnahme 1: Anordnung nach § 25a Abs. 1 KWG</w:t>
      </w:r>
    </w:p>
    <w:p>
      <w:pPr>
        <w:jc w:val="left"/>
      </w:pPr>
      <w:r>
        <w:t>Die BaFin beabsichtigt, die Thalvenia Bank AG zu verpflichten, folgende Mängel innerhalb von 60 Tagen zu beheben:</w:t>
      </w:r>
    </w:p>
    <w:p>
      <w:pPr>
        <w:pStyle w:val="ListBullet"/>
      </w:pPr>
      <w:r>
        <w:t>Aktualisierung der Risikoanalyse nach § 5 GwG</w:t>
      </w:r>
    </w:p>
    <w:p>
      <w:pPr>
        <w:pStyle w:val="ListBullet"/>
      </w:pPr>
      <w:r>
        <w:t>Vollständige KYC-Nacherfüllung für alle Kunden mit schwerwiegenden Befunden</w:t>
      </w:r>
    </w:p>
    <w:p>
      <w:pPr>
        <w:pStyle w:val="ListBullet"/>
      </w:pPr>
      <w:r>
        <w:t>Vollständige PEP-Screening-Dokumentation und Vertragsupgrade mit SymphonyAI</w:t>
      </w:r>
    </w:p>
    <w:p>
      <w:pPr>
        <w:pStyle w:val="ListBullet"/>
      </w:pPr>
      <w:r>
        <w:t>Überarbeitung des BAIT-konformen Notfallkonzepts</w:t>
      </w:r>
    </w:p>
    <w:p>
      <w:pPr>
        <w:pStyle w:val="ListBullet"/>
      </w:pPr>
      <w:r>
        <w:t>Vorlage des ausstehenden IT-Prüfberichts 2024</w:t>
      </w:r>
    </w:p>
    <w:p>
      <w:pPr>
        <w:pStyle w:val="Heading3"/>
      </w:pPr>
      <w:r>
        <w:rPr>
          <w:rFonts w:ascii="Times New Roman" w:hAnsi="Times New Roman"/>
        </w:rPr>
        <w:t>Beabsichtigte Maßnahme 2: Bußgeldverfahren nach § 56 GwG</w:t>
      </w:r>
    </w:p>
    <w:p>
      <w:pPr>
        <w:jc w:val="left"/>
      </w:pPr>
      <w:r>
        <w:t>Die BaFin beabsichtigt, ein Bußgeldverfahren wegen folgender Verstöße einzuleiten:</w:t>
      </w:r>
    </w:p>
    <w:p>
      <w:pPr>
        <w:pStyle w:val="ListBullet"/>
      </w:pPr>
      <w:r>
        <w:t>Verletzung der Sorgfaltspflichten nach § 10 GwG (für Kunden HR-03, HR-07, HR-09, HR-11, HR-19)</w:t>
      </w:r>
    </w:p>
    <w:p>
      <w:pPr>
        <w:pStyle w:val="ListBullet"/>
      </w:pPr>
      <w:r>
        <w:t>Verletzung der verstärkten Sorgfaltspflichten nach § 15 GwG (für Kunden HR-11, HR-23, HR-31)</w:t>
      </w:r>
    </w:p>
    <w:p>
      <w:pPr>
        <w:pStyle w:val="ListBullet"/>
      </w:pPr>
      <w:r>
        <w:t>Verletzung der Meldepflicht nach § 43 GwG (für nicht gemeldete Transaktionen TRX-2024-0487, TRX-2024-0612, TRX-2025-0089)</w:t>
      </w:r>
    </w:p>
    <w:p>
      <w:pPr>
        <w:pStyle w:val="ListBullet"/>
      </w:pPr>
      <w:r>
        <w:t>Verletzung der BAIT-Anzeigepflicht (Cybervorfall Januar 2026)</w:t>
      </w:r>
    </w:p>
    <w:p>
      <w:pPr>
        <w:jc w:val="left"/>
      </w:pPr>
      <w:r>
        <w:rPr>
          <w:b/>
        </w:rPr>
        <w:t>Vorläufig geschätzter Bußgeldrahmen:</w:t>
      </w:r>
      <w:r>
        <w:t xml:space="preserve"> EUR 2,5 Mio. bis EUR 5 Mio.</w:t>
      </w:r>
    </w:p>
    <w:p>
      <w:pPr>
        <w:pStyle w:val="Heading3"/>
      </w:pPr>
      <w:r>
        <w:rPr>
          <w:rFonts w:ascii="Times New Roman" w:hAnsi="Times New Roman"/>
        </w:rPr>
        <w:t>Beabsichtigte Maßnahme 3: Hinweis MiCAR-Zulassung</w:t>
      </w:r>
    </w:p>
    <w:p>
      <w:pPr>
        <w:jc w:val="left"/>
      </w:pPr>
      <w:r>
        <w:t>"Die festgestellten Mängel werden in die laufende Prüfung des CASP-Antrags nach Art. 63 MiCAR einfließen. Das Referat WA 37 wurde informiert. Eine abschließende Entscheidung über den CASP-Antrag wird nach Abschluss des vorliegenden Prüfungsverfahrens ergehen."</w:t>
      </w:r>
    </w:p>
    <w:p>
      <w:pPr>
        <w:jc w:val="left"/>
      </w:pPr>
      <w:r>
        <w:t>Dies ist die schärfste Formulierung des Anhörungsschreibens und impliziert die mögliche Versagung der CASP-Zulassung.</w:t>
      </w:r>
    </w:p>
    <w:p/>
    <w:p>
      <w:pPr>
        <w:pStyle w:val="Heading2"/>
      </w:pPr>
      <w:r>
        <w:rPr>
          <w:rFonts w:ascii="Times New Roman" w:hAnsi="Times New Roman"/>
        </w:rPr>
        <w:t>Rechtliche Analyse des Anhörungsschreibens</w:t>
      </w:r>
    </w:p>
    <w:p>
      <w:pPr>
        <w:pStyle w:val="Heading3"/>
      </w:pPr>
      <w:r>
        <w:rPr>
          <w:rFonts w:ascii="Times New Roman" w:hAnsi="Times New Roman"/>
        </w:rPr>
        <w:t>Zu Maßnahme 1 (§ 25a KWG-Anordnung)</w:t>
      </w:r>
    </w:p>
    <w:p>
      <w:pPr>
        <w:jc w:val="left"/>
      </w:pPr>
      <w:r>
        <w:t>Die BaFin ist befugt, nach § 25a Abs. 1 S. 7 KWG Maßnahmen anzuordnen, die geeignet und erforderlich sind, unzureichende Vorkehrungen zu beseitigen. Die Anordnung ist verhältnismäßig, sofern das Institut die Mängel beheben kann. Da das Institut seit April 2026 aktiv an der Remediation arbeitet (vgl. 21-roadmap-remediation-100-tage.md), werden wir im Rahmen der Stellungnahme nachweisen, dass viele Maßnahmen bereits abgeschlossen sind.</w:t>
      </w:r>
    </w:p>
    <w:p>
      <w:pPr>
        <w:pStyle w:val="Heading3"/>
      </w:pPr>
      <w:r>
        <w:rPr>
          <w:rFonts w:ascii="Times New Roman" w:hAnsi="Times New Roman"/>
        </w:rPr>
        <w:t>Zu Maßnahme 2 (Bußgeldverfahren)</w:t>
      </w:r>
    </w:p>
    <w:p>
      <w:pPr>
        <w:jc w:val="left"/>
      </w:pPr>
      <w:r>
        <w:t>§ 56 GwG sieht für Verstöße gegen §§ 10, 15 GwG Bußgelder bis zu EUR 5 Mio. vor. Der Vorwurf der unterlassenen Verdachtsmeldung nach § 43 GwG ist schwerwiegend und rechtlich am anfälligsten zu verteidigen. Die Kanzlei wird argumentieren, dass das interne Monitoring-System die fraglichen Transaktionen als Grenzfall eingestuft hat und die Entscheidung gegen eine Meldung auf einer vertretbaren Risikoeinschätzung basierte.</w:t>
      </w:r>
    </w:p>
    <w:p>
      <w:pPr>
        <w:pStyle w:val="Heading3"/>
      </w:pPr>
      <w:r>
        <w:rPr>
          <w:rFonts w:ascii="Times New Roman" w:hAnsi="Times New Roman"/>
        </w:rPr>
        <w:t>Zu Maßnahme 3 (MiCAR-Zulassung)</w:t>
      </w:r>
    </w:p>
    <w:p>
      <w:pPr>
        <w:jc w:val="left"/>
      </w:pPr>
      <w:r>
        <w:t>Die Verbindung zwischen Bußgeldverfahren und MiCAR-Zulassung ist der heikelste Punkt. Art. 63 Abs. 1 MiCAR erlaubt die Versagung, wenn das Institut "nicht zuverlässig und solide geführt" ist. Diese Formulierung ist vage und ermöglicht der BaFin einen weiten Ermessensspielraum. Die Stellungnahme muss überzeugend darlegen, dass das Institut trotz der Mängel die Anforderungen an eine zuverlässige Führung erfüllt.</w:t>
      </w:r>
    </w:p>
    <w:p/>
    <w:p>
      <w:pPr>
        <w:pStyle w:val="Heading2"/>
      </w:pPr>
      <w:r>
        <w:rPr>
          <w:rFonts w:ascii="Times New Roman" w:hAnsi="Times New Roman"/>
        </w:rPr>
        <w:t>Strategie für die Stellungnahme</w:t>
      </w:r>
    </w:p>
    <w:p>
      <w:pPr>
        <w:jc w:val="left"/>
      </w:pPr>
      <w:r>
        <w:t>Prof. Dr. Schwertbeck empfiehlt einen dreistufigen Ansatz:</w:t>
      </w:r>
    </w:p>
    <w:p>
      <w:pPr>
        <w:pStyle w:val="ListNumber"/>
      </w:pPr>
      <w:r>
        <w:rPr>
          <w:b/>
        </w:rPr>
        <w:t>Sachverhaltsdarstellung:</w:t>
      </w:r>
      <w:r>
        <w:t xml:space="preserve"> Detaillierte, von den BaFin-Feststellungen abweichende oder ergänzende Sachverhaltsdarstellung insbesondere beim Cybervorfall-Meldungsverzug und den unterlassenen STR-Meldungen.</w:t>
      </w:r>
    </w:p>
    <w:p>
      <w:pPr>
        <w:pStyle w:val="ListNumber"/>
      </w:pPr>
      <w:r>
        <w:rPr>
          <w:b/>
        </w:rPr>
        <w:t>Remediationsnachweis:</w:t>
      </w:r>
      <w:r>
        <w:t xml:space="preserve"> Vollständige Dokumentation aller seit März 2026 ergriffenen Maßnahmen (Fortschritt 100-Tage-Plan).</w:t>
      </w:r>
    </w:p>
    <w:p>
      <w:pPr>
        <w:pStyle w:val="ListNumber"/>
      </w:pPr>
      <w:r>
        <w:rPr>
          <w:b/>
        </w:rPr>
        <w:t>Proportionalitätsargumentation:</w:t>
      </w:r>
      <w:r>
        <w:t xml:space="preserve"> Hinweis auf Erstverstoß, kooperatives Verhalten, fehlenden Vorsatz und bereits abgeschlossene Remediation als strafmildernde Faktoren.</w:t>
      </w:r>
    </w:p>
    <w:p>
      <w:pPr>
        <w:jc w:val="left"/>
      </w:pPr>
      <w:r>
        <w:rPr>
          <w:b/>
        </w:rPr>
        <w:t>Vgl.:</w:t>
      </w:r>
      <w:r>
        <w:t xml:space="preserve"> 13-stellungnahme-vorstand-thalvenia.md; 18-strategie-vergleichsangebot-bafin.md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