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Beschlussvorlage Geschäftsführung — Projektfreigabe Gate 1</w:t>
      </w:r>
    </w:p>
    <w:p>
      <w:pPr>
        <w:pStyle w:val="Heading2"/>
      </w:pPr>
      <w:r>
        <w:rPr>
          <w:rFonts w:ascii="Times New Roman" w:hAnsi="Times New Roman"/>
        </w:rPr>
        <w:t>Beschlussvorschlag</w:t>
      </w:r>
    </w:p>
    <w:p>
      <w:pPr>
        <w:jc w:val="left"/>
      </w:pPr>
      <w:r>
        <w:t>Die Geschäftsführung soll die Projektgesellschaft ermächtigen, die Vorplanung bis Gate 2 mit einem Budget von 18,4 Mio. EUR fortzuführen. Freigegeben werden dürfen Grundstückssicherung, Netzanschlussstudie, kommunale Vorgespräche, Brandschutz-Vorplanung, Cyber-/KRITIS-Konzept, Bankterm-Sheet und Ausschreibung Owner's Engineer.</w:t>
      </w:r>
    </w:p>
    <w:p>
      <w:pPr>
        <w:pStyle w:val="Heading2"/>
      </w:pPr>
      <w:r>
        <w:rPr>
          <w:rFonts w:ascii="Times New Roman" w:hAnsi="Times New Roman"/>
        </w:rPr>
        <w:t>Bedingungen</w:t>
      </w:r>
    </w:p>
    <w:p>
      <w:pPr>
        <w:pStyle w:val="ListBullet"/>
      </w:pPr>
      <w:r>
        <w:t>Keine öffentliche Aussage, dass der Speicher 'Berlin für mehrere Tage allein versorgt', bevor die Systemdienstleistungsrolle technisch und regulatorisch belastbar beschrieben ist.</w:t>
      </w:r>
    </w:p>
    <w:p>
      <w:pPr>
        <w:pStyle w:val="ListBullet"/>
      </w:pPr>
      <w:r>
        <w:t>Kein EPC-Vorvertrag ohne abgestimmtes Brandschutz- und Havariekonzept.</w:t>
      </w:r>
    </w:p>
    <w:p>
      <w:pPr>
        <w:pStyle w:val="ListBullet"/>
      </w:pPr>
      <w:r>
        <w:t>Keine Finanzierungsunterlage ohne klare Trennung von Erlösmodell, regulatorischen Annahmen und politischen Erwartungen.</w:t>
      </w:r>
    </w:p>
    <w:p>
      <w:pPr>
        <w:pStyle w:val="ListBullet"/>
      </w:pPr>
      <w:r>
        <w:t>Kein Fernwartungsvertrag ohne Datenschutz-, Cyber- und Notfallmatrix.</w:t>
      </w:r>
    </w:p>
    <w:p>
      <w:pPr>
        <w:pStyle w:val="Heading2"/>
      </w:pPr>
      <w:r>
        <w:rPr>
          <w:rFonts w:ascii="Times New Roman" w:hAnsi="Times New Roman"/>
        </w:rPr>
        <w:t>Entscheidungsdruck</w:t>
      </w:r>
    </w:p>
    <w:p>
      <w:pPr>
        <w:jc w:val="left"/>
      </w:pPr>
      <w:r>
        <w:t>Der Ministeriumstermin am 17.06.2026 soll zeigen, ob das Projekt als Leuchtturm für Versorgungssicherheit politisch erwünscht ist. Der Bürgermeister will vorher eine Zusage zur Gewerbesteuer, zur Feuerwehrfinanzierung und zu einem Besucherzentrum.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