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Netzanschlussnotiz 380 kV</w:t>
      </w:r>
    </w:p>
    <w:p>
      <w:pPr>
        <w:jc w:val="left"/>
      </w:pPr>
      <w:r>
        <w:t>Der Übertragungsnetzbetreiber hat eine Netzverträglichkeitsstudie angeboten, aber noch keine verbindliche Anschlusszusage erteilt. Der Speicher soll sowohl Strom beziehen als auch ausspeisen. Das technische Team plant zusätzlich Regelenergie, Intraday-Arbitrage, Redispatch-Nähe und Notfallstützung.</w:t>
      </w:r>
    </w:p>
    <w:p>
      <w:pPr>
        <w:pStyle w:val="Heading2"/>
      </w:pPr>
      <w:r>
        <w:rPr>
          <w:rFonts w:ascii="Times New Roman" w:hAnsi="Times New Roman"/>
        </w:rPr>
        <w:t>Streitpunkte</w:t>
      </w:r>
    </w:p>
    <w:p>
      <w:pPr>
        <w:pStyle w:val="ListNumber"/>
      </w:pPr>
      <w:r>
        <w:t>Der Netzbetreiber will das Projekt wie große Last und wie Erzeuger zugleich behandeln.</w:t>
      </w:r>
    </w:p>
    <w:p>
      <w:pPr>
        <w:pStyle w:val="ListNumber"/>
      </w:pPr>
      <w:r>
        <w:t>Der Investor verlangt Netzentgeltklarheit vor Signing EPC.</w:t>
      </w:r>
    </w:p>
    <w:p>
      <w:pPr>
        <w:pStyle w:val="ListNumber"/>
      </w:pPr>
      <w:r>
        <w:t>Die Bank fragt, ob die Anschlusskosten gedeckelt oder offen sind.</w:t>
      </w:r>
    </w:p>
    <w:p>
      <w:pPr>
        <w:pStyle w:val="ListNumber"/>
      </w:pPr>
      <w:r>
        <w:t>Der Projektentwickler möchte die politische Resilienzfunktion in die Anschlusspriorität hineinlesen; dazu gibt es aber noch keinen belastbaren Bescheid.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