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Brandschutz- und Havarievermerk</w:t>
      </w:r>
    </w:p>
    <w:p>
      <w:pPr>
        <w:jc w:val="left"/>
      </w:pPr>
      <w:r>
        <w:t>Der Hersteller wirbt mit modularem Thermal-Runaway-Schutz, Aerosol-Löschanlage, Gasdetektion und Container-Separation. Die Feuerwehr fordert dagegen Außenangriff, Löschwasserrückhaltung, Zufahrt für schwere Fahrzeuge, Quarantänefläche für beschädigte Module und ein jährliches Einsatztraining.</w:t>
      </w:r>
    </w:p>
    <w:p>
      <w:pPr>
        <w:pStyle w:val="Heading2"/>
      </w:pPr>
      <w:r>
        <w:rPr>
          <w:rFonts w:ascii="Times New Roman" w:hAnsi="Times New Roman"/>
        </w:rPr>
        <w:t>Technische Unterlagen fehlen</w:t>
      </w:r>
    </w:p>
    <w:p>
      <w:pPr>
        <w:pStyle w:val="ListBullet"/>
      </w:pPr>
      <w:r>
        <w:t>endgültiges Battery Management System Manual,</w:t>
      </w:r>
    </w:p>
    <w:p>
      <w:pPr>
        <w:pStyle w:val="ListBullet"/>
      </w:pPr>
      <w:r>
        <w:t>Nachweis zu Zellchemie und Brandlast,</w:t>
      </w:r>
    </w:p>
    <w:p>
      <w:pPr>
        <w:pStyle w:val="ListBullet"/>
      </w:pPr>
      <w:r>
        <w:t>Löschmittelverträglichkeit,</w:t>
      </w:r>
    </w:p>
    <w:p>
      <w:pPr>
        <w:pStyle w:val="ListBullet"/>
      </w:pPr>
      <w:r>
        <w:t>Havariebeckenberechnung,</w:t>
      </w:r>
    </w:p>
    <w:p>
      <w:pPr>
        <w:pStyle w:val="ListBullet"/>
      </w:pPr>
      <w:r>
        <w:t>Entsorgungsweg nach Brandereignis,</w:t>
      </w:r>
    </w:p>
    <w:p>
      <w:pPr>
        <w:pStyle w:val="ListBullet"/>
      </w:pPr>
      <w:r>
        <w:t>Versichererfreigabe.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