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Cyber-/KRITIS-Sicherheitskonzept — Arbeitsstand</w:t>
      </w:r>
    </w:p>
    <w:p>
      <w:pPr>
        <w:jc w:val="left"/>
      </w:pPr>
      <w:r>
        <w:t>Die Leitwarte soll in Berlin, das Engineering in Potsdam und die Second-Level-Fernwartung beim Hersteller in Rotterdam liegen. Zugriff auf das Energy Management System soll über privilegierte Wartungsfenster erfolgen. Der Chief Security Officer hält den Speicher wegen der vorgesehenen Krisenfunktion für sicherheitskritisch, die Projektentwicklung will das Thema erst nach Netzanschluss klären.</w:t>
      </w:r>
    </w:p>
    <w:p>
      <w:pPr>
        <w:pStyle w:val="Heading2"/>
      </w:pPr>
      <w:r>
        <w:rPr>
          <w:rFonts w:ascii="Times New Roman" w:hAnsi="Times New Roman"/>
        </w:rPr>
        <w:t>Sicherheitslinien</w:t>
      </w:r>
    </w:p>
    <w:p>
      <w:pPr>
        <w:pStyle w:val="ListBullet"/>
      </w:pPr>
      <w:r>
        <w:t>Rollen- und Rechtemodell mit Vier-Augen-Prinzip.</w:t>
      </w:r>
    </w:p>
    <w:p>
      <w:pPr>
        <w:pStyle w:val="ListBullet"/>
      </w:pPr>
      <w:r>
        <w:t>Trennung von Office-IT, OT, BMS und Fernwartung.</w:t>
      </w:r>
    </w:p>
    <w:p>
      <w:pPr>
        <w:pStyle w:val="ListBullet"/>
      </w:pPr>
      <w:r>
        <w:t>Offline-Fallback für kritische Schaltzustände.</w:t>
      </w:r>
    </w:p>
    <w:p>
      <w:pPr>
        <w:pStyle w:val="ListBullet"/>
      </w:pPr>
      <w:r>
        <w:t>Notfallkommunikation mit Netzbetreiber, Feuerwehr, Polizei, BSI/Bundes- und Landesstellen soweit zuständig.</w:t>
      </w:r>
    </w:p>
    <w:p>
      <w:pPr>
        <w:pStyle w:val="ListBullet"/>
      </w:pPr>
      <w:r>
        <w:t>Videoüberwachung nur mit Datenschutzkonzept.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