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Dieselgeneratoren und Schwarzstartfähigkeit</w:t>
      </w:r>
    </w:p>
    <w:p>
      <w:pPr>
        <w:jc w:val="left"/>
      </w:pPr>
      <w:r>
        <w:t>Geplant sind acht Dieselgeneratoren für Leitwarte, Sicherheitssysteme und kontrolliertes Herunterfahren. In der Präsentation steht versehentlich 'Schwarzstart Berlin'. Das ist technisch und rechtlich zu eng zu prüfen: Es geht zunächst um Eigenversorgung kritischer Anlagenfunktionen, nicht um Wiederaufbau des gesamten Übertragungsnetzes.</w:t>
      </w:r>
    </w:p>
    <w:p>
      <w:pPr>
        <w:pStyle w:val="Heading2"/>
      </w:pPr>
      <w:r>
        <w:rPr>
          <w:rFonts w:ascii="Times New Roman" w:hAnsi="Times New Roman"/>
        </w:rPr>
        <w:t>Offene Prüfung</w:t>
      </w:r>
    </w:p>
    <w:p>
      <w:pPr>
        <w:pStyle w:val="ListBullet"/>
      </w:pPr>
      <w:r>
        <w:t>Genehmigungsbedürftigkeit und Betriebsstunden der Generatoren.</w:t>
      </w:r>
    </w:p>
    <w:p>
      <w:pPr>
        <w:pStyle w:val="ListBullet"/>
      </w:pPr>
      <w:r>
        <w:t>Emissionsgrenzwerte, Lärmschutz und Kraftstofflager.</w:t>
      </w:r>
    </w:p>
    <w:p>
      <w:pPr>
        <w:pStyle w:val="ListBullet"/>
      </w:pPr>
      <w:r>
        <w:t>AwSV-Fragen beim Dieseltank.</w:t>
      </w:r>
    </w:p>
    <w:p>
      <w:pPr>
        <w:pStyle w:val="ListBullet"/>
      </w:pPr>
      <w:r>
        <w:t>Schnittstelle zu Feuerwehr und Katastrophenschutz.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