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Bank-DD: Fragenkatalog</w:t>
      </w:r>
    </w:p>
    <w:p>
      <w:pPr>
        <w:jc w:val="left"/>
      </w:pPr>
      <w:r>
        <w:t>Die Konsortialbanken verlangen vor Term Sheet ein Legal Red Flag Memo. Besonders unklar sind:</w:t>
      </w:r>
    </w:p>
    <w:p>
      <w:pPr>
        <w:pStyle w:val="ListNumber"/>
      </w:pPr>
      <w:r>
        <w:t>Ist die Projektgesellschaft rechtlich Betreiberin, Lieferantin, Speicherbetreiberin oder vermarktet nur ein Aggregator?</w:t>
      </w:r>
    </w:p>
    <w:p>
      <w:pPr>
        <w:pStyle w:val="ListNumber"/>
      </w:pPr>
      <w:r>
        <w:t>Welche Erlöse sind merchant risk und welche vertraglich abgesichert?</w:t>
      </w:r>
    </w:p>
    <w:p>
      <w:pPr>
        <w:pStyle w:val="ListNumber"/>
      </w:pPr>
      <w:r>
        <w:t>Gibt es Netzentgelt-/Umlagenrisiken beim Strombezug?</w:t>
      </w:r>
    </w:p>
    <w:p>
      <w:pPr>
        <w:pStyle w:val="ListNumber"/>
      </w:pPr>
      <w:r>
        <w:t>Welche Sicherheiten kann die Bank an Speichern, Konten, Verträgen, Grundstücksrechten und Versicherungen nehmen?</w:t>
      </w:r>
    </w:p>
    <w:p>
      <w:pPr>
        <w:pStyle w:val="ListNumber"/>
      </w:pPr>
      <w:r>
        <w:t>Welche Genehmigungen sind Condition Precedent?</w:t>
      </w:r>
    </w:p>
    <w:p>
      <w:pPr>
        <w:pStyle w:val="ListNumber"/>
      </w:pPr>
      <w:r>
        <w:t>Was passiert bei Brand, Cyberangriff, Netzanschlussverzug oder politischem Projektstopp?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