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 und Bürgerkommunikation</w:t>
      </w:r>
    </w:p>
    <w:p>
      <w:pPr>
        <w:jc w:val="left"/>
      </w:pPr>
      <w:r>
        <w:t>Die lokale Zeitung fragt, ob 'fast zweitausend Batteriecontainer neben dem Reiterhof' gefährlich seien. Ein Anwohner schreibt, er wolle keine 'Stromverseuchung'. Die Gemeinde bittet um eine Bürgerversammlung, will aber keine technische Verkaufsveranstaltung.</w:t>
      </w:r>
    </w:p>
    <w:p>
      <w:pPr>
        <w:pStyle w:val="Heading2"/>
      </w:pPr>
      <w:r>
        <w:rPr>
          <w:rFonts w:ascii="Times New Roman" w:hAnsi="Times New Roman"/>
        </w:rPr>
        <w:t>Kommunikationslinie</w:t>
      </w:r>
    </w:p>
    <w:p>
      <w:pPr>
        <w:jc w:val="left"/>
      </w:pPr>
      <w:r>
        <w:t>Nicht beschwichtigen, sondern prüfbar erklären:</w:t>
      </w:r>
    </w:p>
    <w:p>
      <w:pPr>
        <w:pStyle w:val="ListBullet"/>
      </w:pPr>
      <w:r>
        <w:t>Was ist schon entschieden?</w:t>
      </w:r>
    </w:p>
    <w:p>
      <w:pPr>
        <w:pStyle w:val="ListBullet"/>
      </w:pPr>
      <w:r>
        <w:t>Was wird im Genehmigungsverfahren geprüft?</w:t>
      </w:r>
    </w:p>
    <w:p>
      <w:pPr>
        <w:pStyle w:val="ListBullet"/>
      </w:pPr>
      <w:r>
        <w:t>Welche Sicherheitsnachweise fehlen noch?</w:t>
      </w:r>
    </w:p>
    <w:p>
      <w:pPr>
        <w:pStyle w:val="ListBullet"/>
      </w:pPr>
      <w:r>
        <w:t>Welche Rechte haben Nachbarn?</w:t>
      </w:r>
    </w:p>
    <w:p>
      <w:pPr>
        <w:pStyle w:val="ListBullet"/>
      </w:pPr>
      <w:r>
        <w:t>Welche Aussagen zur Versorgungssicherheit sind belastbar und welche nur politischer Wunsch?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