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Speicherwerk Oderbruch: Batteriespeicher, Netzanbindung und KRITIS-Schutz“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Großspeicher soll Berlin stützen; Bauplanungsrecht, Netzentgeltlogik, Brandschutz, Cyberabwehr, Diesel-Backup und Terrorrisiko müssen parallel gelöst werden.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EnWG, EEG, BauGB, BImSchG, Bauordnungsrecht Brandenburg, KRITIS/NIS2/BSI-Logik, Netzanschluss- und Brandschutzrecht.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