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Speicherwerk Oderbruch: Batteriespeicher, Netzanbindung und KRITIS-Schutz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EnWG, EEG, BauGB, BImSchG, Bauordnungsrecht Brandenburg, KRITIS/NIS2/BSI-Logik, Netzanschluss- und Brandschutzrecht.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