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Speicherwerk Oderbruch: Batteriespeicher, Netzanbindung und KRITIS-Schutz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EnWG, EEG, BauGB, BImSchG, Bauordnungsrecht Brandenburg, KRITIS/NIS2/BSI-Logik, Netzanschluss- und Brandschutzrecht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