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Speicherwerk Oderbruch: Batteriespeicher, Netzanbindung und KRITIS-Schutz</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Ein Großspeicher soll Berlin stützen; Bauplanungsrecht, Netzentgeltlogik, Brandschutz, Cyberabwehr, Diesel-Backup und Terrorrisiko müssen parallel gelöst werden.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EnWG, EEG, BauGB, BImSchG, Bauordnungsrecht Brandenburg, KRITIS/NIS2/BSI-Logik, Netzanschluss- und Brandschutzrecht.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