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Technikblatt Hersteller — Auszug mit Widersprüchen</w:t>
      </w:r>
    </w:p>
    <w:p>
      <w:pPr>
        <w:pStyle w:val="Heading2"/>
      </w:pPr>
      <w:r>
        <w:rPr>
          <w:rFonts w:ascii="Times New Roman" w:hAnsi="Times New Roman"/>
        </w:rPr>
        <w:t>Herstellerangaben</w:t>
      </w:r>
    </w:p>
    <w:p>
      <w:pPr>
        <w:jc w:val="left"/>
      </w:pPr>
      <w:r>
        <w:t>Der Hersteller beschreibt die Container als vorintegrierte Einheiten mit eigenem Battery Management System, Gasdetektion, Aerosol-Löschung, Temperaturmanagement und Remote-Diagnose. Die Garantiezusage nennt 92 % Verfügbarkeit pro Betriebsjahr, lässt aber geplante Wartungsfenster, Netzbetreiberabrufe und sicherheitsbedingte Abschaltungen ausdrücklich außen vor.</w:t>
      </w:r>
    </w:p>
    <w:p>
      <w:pPr>
        <w:pStyle w:val="Heading2"/>
      </w:pPr>
      <w:r>
        <w:rPr>
          <w:rFonts w:ascii="Times New Roman" w:hAnsi="Times New Roman"/>
        </w:rPr>
        <w:t>Widersprüche im Datenraum</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Datenraumstand</w:t>
            </w:r>
          </w:p>
        </w:tc>
        <w:tc>
          <w:tcPr>
            <w:tcW w:type="dxa" w:w="3024"/>
          </w:tcPr>
          <w:p>
            <w:r>
              <w:rPr>
                <w:rFonts w:ascii="Times New Roman" w:hAnsi="Times New Roman"/>
                <w:b/>
                <w:sz w:val="20"/>
              </w:rPr>
              <w:t>Risiko</w:t>
            </w:r>
          </w:p>
        </w:tc>
      </w:tr>
      <w:tr>
        <w:tc>
          <w:tcPr>
            <w:tcW w:type="dxa" w:w="3024"/>
          </w:tcPr>
          <w:p>
            <w:r>
              <w:rPr>
                <w:rFonts w:ascii="Times New Roman" w:hAnsi="Times New Roman"/>
                <w:sz w:val="20"/>
              </w:rPr>
              <w:t>Zellchemie</w:t>
            </w:r>
          </w:p>
        </w:tc>
        <w:tc>
          <w:tcPr>
            <w:tcW w:type="dxa" w:w="3024"/>
          </w:tcPr>
          <w:p>
            <w:r>
              <w:rPr>
                <w:rFonts w:ascii="Times New Roman" w:hAnsi="Times New Roman"/>
                <w:sz w:val="20"/>
              </w:rPr>
              <w:t>Präsentation spricht von LFP; technische Anlage nennt zwei alternative Lieferanten</w:t>
            </w:r>
          </w:p>
        </w:tc>
        <w:tc>
          <w:tcPr>
            <w:tcW w:type="dxa" w:w="3024"/>
          </w:tcPr>
          <w:p>
            <w:r>
              <w:rPr>
                <w:rFonts w:ascii="Times New Roman" w:hAnsi="Times New Roman"/>
                <w:sz w:val="20"/>
              </w:rPr>
              <w:t>Brandschutz- und Degradationsannahmen nicht belastbar</w:t>
            </w:r>
          </w:p>
        </w:tc>
      </w:tr>
      <w:tr>
        <w:tc>
          <w:tcPr>
            <w:tcW w:type="dxa" w:w="3024"/>
          </w:tcPr>
          <w:p>
            <w:r>
              <w:rPr>
                <w:rFonts w:ascii="Times New Roman" w:hAnsi="Times New Roman"/>
                <w:sz w:val="20"/>
              </w:rPr>
              <w:t>Temperaturbereich</w:t>
            </w:r>
          </w:p>
        </w:tc>
        <w:tc>
          <w:tcPr>
            <w:tcW w:type="dxa" w:w="3024"/>
          </w:tcPr>
          <w:p>
            <w:r>
              <w:rPr>
                <w:rFonts w:ascii="Times New Roman" w:hAnsi="Times New Roman"/>
                <w:sz w:val="20"/>
              </w:rPr>
              <w:t>-20 bis +45 Grad Celsius ohne Leistungsreduktion; O&amp;M-Entwurf erwähnt Derating ab +38 Grad</w:t>
            </w:r>
          </w:p>
        </w:tc>
        <w:tc>
          <w:tcPr>
            <w:tcW w:type="dxa" w:w="3024"/>
          </w:tcPr>
          <w:p>
            <w:r>
              <w:rPr>
                <w:rFonts w:ascii="Times New Roman" w:hAnsi="Times New Roman"/>
                <w:sz w:val="20"/>
              </w:rPr>
              <w:t>Erlösmodell überschätzt Sommerverfügbarkeit</w:t>
            </w:r>
          </w:p>
        </w:tc>
      </w:tr>
      <w:tr>
        <w:tc>
          <w:tcPr>
            <w:tcW w:type="dxa" w:w="3024"/>
          </w:tcPr>
          <w:p>
            <w:r>
              <w:rPr>
                <w:rFonts w:ascii="Times New Roman" w:hAnsi="Times New Roman"/>
                <w:sz w:val="20"/>
              </w:rPr>
              <w:t>Remote Access</w:t>
            </w:r>
          </w:p>
        </w:tc>
        <w:tc>
          <w:tcPr>
            <w:tcW w:type="dxa" w:w="3024"/>
          </w:tcPr>
          <w:p>
            <w:r>
              <w:rPr>
                <w:rFonts w:ascii="Times New Roman" w:hAnsi="Times New Roman"/>
                <w:sz w:val="20"/>
              </w:rPr>
              <w:t>'nur Diagnose'; Cyber-Anlage erlaubt Firmware-Updates aus Rotterdam</w:t>
            </w:r>
          </w:p>
        </w:tc>
        <w:tc>
          <w:tcPr>
            <w:tcW w:type="dxa" w:w="3024"/>
          </w:tcPr>
          <w:p>
            <w:r>
              <w:rPr>
                <w:rFonts w:ascii="Times New Roman" w:hAnsi="Times New Roman"/>
                <w:sz w:val="20"/>
              </w:rPr>
              <w:t>KRITIS-/Cyber- und Haftungsfrage offen</w:t>
            </w:r>
          </w:p>
        </w:tc>
      </w:tr>
      <w:tr>
        <w:tc>
          <w:tcPr>
            <w:tcW w:type="dxa" w:w="3024"/>
          </w:tcPr>
          <w:p>
            <w:r>
              <w:rPr>
                <w:rFonts w:ascii="Times New Roman" w:hAnsi="Times New Roman"/>
                <w:sz w:val="20"/>
              </w:rPr>
              <w:t>Ersatzteile</w:t>
            </w:r>
          </w:p>
        </w:tc>
        <w:tc>
          <w:tcPr>
            <w:tcW w:type="dxa" w:w="3024"/>
          </w:tcPr>
          <w:p>
            <w:r>
              <w:rPr>
                <w:rFonts w:ascii="Times New Roman" w:hAnsi="Times New Roman"/>
                <w:sz w:val="20"/>
              </w:rPr>
              <w:t>10 Jahre verfügbar; Liefervertrag enthält Force-Majeure-Ausnahme für Zelllieferungen</w:t>
            </w:r>
          </w:p>
        </w:tc>
        <w:tc>
          <w:tcPr>
            <w:tcW w:type="dxa" w:w="3024"/>
          </w:tcPr>
          <w:p>
            <w:r>
              <w:rPr>
                <w:rFonts w:ascii="Times New Roman" w:hAnsi="Times New Roman"/>
                <w:sz w:val="20"/>
              </w:rPr>
              <w:t>Bankability und Versicherung</w:t>
            </w:r>
          </w:p>
        </w:tc>
      </w:tr>
    </w:tbl>
    <w:p>
      <w:pPr>
        <w:pStyle w:val="Heading2"/>
      </w:pPr>
      <w:r>
        <w:rPr>
          <w:rFonts w:ascii="Times New Roman" w:hAnsi="Times New Roman"/>
        </w:rPr>
        <w:t>Anwaltlicher Prüfpunkt</w:t>
      </w:r>
    </w:p>
    <w:p>
      <w:pPr>
        <w:jc w:val="left"/>
      </w:pPr>
      <w:r>
        <w:t>Die technische Beschreibung muss nicht juristisch 'verstanden' werden wie ein Ingenieurbericht. Sie muss aber so geordnet werden, dass Bauaufsicht, Feuerwehr, Versicherer, Bank und Netzbetreiber erkennen, welche Annahmen tragend sind und welche noch nicht belegt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