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Bank-Term-Sheet — Redline-Notiz</w:t>
      </w:r>
    </w:p>
    <w:p>
      <w:pPr>
        <w:pStyle w:val="Heading2"/>
      </w:pPr>
      <w:r>
        <w:rPr>
          <w:rFonts w:ascii="Times New Roman" w:hAnsi="Times New Roman"/>
        </w:rPr>
        <w:t>Kreditstruktur</w:t>
      </w:r>
    </w:p>
    <w:p>
      <w:pPr>
        <w:jc w:val="left"/>
      </w:pPr>
      <w:r>
        <w:t>Die Banken bieten eine Projektfinanzierung mit Bauphase, Mini-Perm und Cash-Sweep an. Die Finanzierung setzt voraus, dass alle wesentlichen Genehmigungen bestandskräftig oder vollziehbar sind, der Netzanschlussvertrag unterzeichnet ist und das Erlösmodell durch ein unabhängiges Marktgutachten bestätigt wird.</w:t>
      </w:r>
    </w:p>
    <w:p>
      <w:pPr>
        <w:pStyle w:val="Heading2"/>
      </w:pPr>
      <w:r>
        <w:rPr>
          <w:rFonts w:ascii="Times New Roman" w:hAnsi="Times New Roman"/>
        </w:rPr>
        <w:t>Redline-Punkte Legal</w:t>
      </w:r>
    </w:p>
    <w:p>
      <w:pPr>
        <w:pStyle w:val="ListBullet"/>
      </w:pPr>
      <w:r>
        <w:rPr>
          <w:b/>
        </w:rPr>
        <w:t>Condition Precedent Genehmigungen:</w:t>
      </w:r>
      <w:r>
        <w:t xml:space="preserve"> Bestandskraft ist für Bauleitplanung praktisch zu streng; diskutieren: vollziehbare Genehmigung plus Eilrechtsrisiko-Reserve.</w:t>
      </w:r>
    </w:p>
    <w:p>
      <w:pPr>
        <w:pStyle w:val="ListBullet"/>
      </w:pPr>
      <w:r>
        <w:rPr>
          <w:b/>
        </w:rPr>
        <w:t>Netzanschluss:</w:t>
      </w:r>
      <w:r>
        <w:t xml:space="preserve"> Vertrag muss Kosten, Fristen, Verzögerungsfolgen und technische Anschlussbedingungen konkret enthalten.</w:t>
      </w:r>
    </w:p>
    <w:p>
      <w:pPr>
        <w:pStyle w:val="ListBullet"/>
      </w:pPr>
      <w:r>
        <w:rPr>
          <w:b/>
        </w:rPr>
        <w:t>Cyber Undertaking:</w:t>
      </w:r>
      <w:r>
        <w:t xml:space="preserve"> Bank verlangt jährliches Penetration Testing; Betreiber will nur alle zwei Jahre. Bei KRITIS-/NIS2-Scope ist jährliche Prüfung plausibel zu diskutieren.</w:t>
      </w:r>
    </w:p>
    <w:p>
      <w:pPr>
        <w:pStyle w:val="ListBullet"/>
      </w:pPr>
      <w:r>
        <w:rPr>
          <w:b/>
        </w:rPr>
        <w:t>Insurance:</w:t>
      </w:r>
      <w:r>
        <w:t xml:space="preserve"> Property/BI/Cyber/Environmental müssen mit Projekttechnik harmonieren; Ausschlüsse für Thermal Runaway prüfen.</w:t>
      </w:r>
    </w:p>
    <w:p>
      <w:pPr>
        <w:pStyle w:val="ListBullet"/>
      </w:pPr>
      <w:r>
        <w:rPr>
          <w:b/>
        </w:rPr>
        <w:t>Distribution Lock-up:</w:t>
      </w:r>
      <w:r>
        <w:t xml:space="preserve"> Ausschüttungsverbot bei ungeklärtem Brand-/Cyberereignis.</w:t>
      </w:r>
    </w:p>
    <w:p>
      <w:pPr>
        <w:pStyle w:val="Heading2"/>
      </w:pPr>
      <w:r>
        <w:rPr>
          <w:rFonts w:ascii="Times New Roman" w:hAnsi="Times New Roman"/>
        </w:rPr>
        <w:t>Anwaltlicher Zwischenbefund</w:t>
      </w:r>
    </w:p>
    <w:p>
      <w:pPr>
        <w:jc w:val="left"/>
      </w:pPr>
      <w:r>
        <w:t>Das Term Sheet ist verhandelbar, aber es zeigt, dass politische Projektbegeisterung die Bankability nicht ersetzt. Ohne Netzanschluss, Genehmigungsfahrplan und Sicherheitskonzept bleibt das Projekt im roten Bereich.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