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Datenschutz: Video, Zutritt, Leitwarte und Fernwartung</w:t>
      </w:r>
    </w:p>
    <w:p>
      <w:pPr>
        <w:pStyle w:val="Heading2"/>
      </w:pPr>
      <w:r>
        <w:rPr>
          <w:rFonts w:ascii="Times New Roman" w:hAnsi="Times New Roman"/>
        </w:rPr>
        <w:t>Verarbeitungsvorgänge</w:t>
      </w:r>
    </w:p>
    <w:p>
      <w:pPr>
        <w:pStyle w:val="ListBullet"/>
      </w:pPr>
      <w:r>
        <w:t>Videoüberwachung Zaun, Tor, Trafobereiche, Feuerwehrzufahrt.</w:t>
      </w:r>
    </w:p>
    <w:p>
      <w:pPr>
        <w:pStyle w:val="ListBullet"/>
      </w:pPr>
      <w:r>
        <w:t>Zutrittskarten und Besucherlog.</w:t>
      </w:r>
    </w:p>
    <w:p>
      <w:pPr>
        <w:pStyle w:val="ListBullet"/>
      </w:pPr>
      <w:r>
        <w:t>Fernwartungsprotokolle des Herstellers.</w:t>
      </w:r>
    </w:p>
    <w:p>
      <w:pPr>
        <w:pStyle w:val="ListBullet"/>
      </w:pPr>
      <w:r>
        <w:t>Incident-Logs mit Mitarbeitern- und Dienstleisterdaten.</w:t>
      </w:r>
    </w:p>
    <w:p>
      <w:pPr>
        <w:pStyle w:val="ListBullet"/>
      </w:pPr>
      <w:r>
        <w:t>Drohnenbefliegung nach Störfall.</w:t>
      </w:r>
    </w:p>
    <w:p>
      <w:pPr>
        <w:pStyle w:val="Heading2"/>
      </w:pPr>
      <w:r>
        <w:rPr>
          <w:rFonts w:ascii="Times New Roman" w:hAnsi="Times New Roman"/>
        </w:rPr>
        <w:t>Offene Datenschutzfragen</w:t>
      </w:r>
    </w:p>
    <w:p>
      <w:pPr>
        <w:pStyle w:val="ListNumber"/>
      </w:pPr>
      <w:r>
        <w:t>Wer ist Verantwortlicher: Projektgesellschaft, Betriebsführer oder Leitwartendienstleister?</w:t>
      </w:r>
    </w:p>
    <w:p>
      <w:pPr>
        <w:pStyle w:val="ListNumber"/>
      </w:pPr>
      <w:r>
        <w:t>Ist der Hersteller in Rotterdam Auftragsverarbeiter, eigener Verantwortlicher oder Joint Controller?</w:t>
      </w:r>
    </w:p>
    <w:p>
      <w:pPr>
        <w:pStyle w:val="ListNumber"/>
      </w:pPr>
      <w:r>
        <w:t>Werden Wartungsdaten in Drittländer übertragen?</w:t>
      </w:r>
    </w:p>
    <w:p>
      <w:pPr>
        <w:pStyle w:val="ListNumber"/>
      </w:pPr>
      <w:r>
        <w:t>Wie werden Video-Speicherfristen und Zutrittslogs begründet?</w:t>
      </w:r>
    </w:p>
    <w:p>
      <w:pPr>
        <w:pStyle w:val="ListNumber"/>
      </w:pPr>
      <w:r>
        <w:t>Braucht die Anlage eine Datenschutz-Folgenabschätzung?</w:t>
      </w:r>
    </w:p>
    <w:p>
      <w:pPr>
        <w:pStyle w:val="Heading2"/>
      </w:pPr>
      <w:r>
        <w:rPr>
          <w:rFonts w:ascii="Times New Roman" w:hAnsi="Times New Roman"/>
        </w:rPr>
        <w:t>Juristische Arbeitslinie</w:t>
      </w:r>
    </w:p>
    <w:p>
      <w:pPr>
        <w:jc w:val="left"/>
      </w:pPr>
      <w:r>
        <w:t>Datenschutz ist hier kein Nebenkriegsschauplatz: Ohne klare Rollen gibt es keine saubere Cyber-/KRITIS-Dokumentation, kein Versicherer-Comfort und kein belastbares Fernwartungskonzept.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