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Projekt „Cuenca Segura“</w:t>
      </w:r>
    </w:p>
    <w:p>
      <w:pPr>
        <w:jc w:val="left"/>
      </w:pPr>
      <w:r>
        <w:t>Rabenhorst koordinierte Deichmonitoring, Pegeldaten, Starkregenmodellierung und Schulungen lokaler Behörden. Er leitete ein Team aus Ingenieurinnen, Geodäten und IT-Spezialisten. Die Projektberichte bescheinigen ihm technische Leitung und Krisenfähigkeit während zweier Hochwasserlagen.</w:t>
      </w:r>
    </w:p>
    <w:p>
      <w:pPr>
        <w:jc w:val="left"/>
      </w:pPr>
      <w:r>
        <w:t>Die deutsche Behörde nutzt diese Erfahrung später in Pressemitteilungen, erkennt sie aber im Stufenbescheid nur eingeschränkt an. Das ist kein automatischer Rechtsverstoß, wirkt aber widersprüchlich und ist für Ermessensausübung und Vertrauensschutz relevant.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