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Rückkehrbescheid und Stufenfestsetzung</w:t>
      </w:r>
    </w:p>
    <w:p>
      <w:pPr>
        <w:jc w:val="left"/>
      </w:pPr>
      <w:r>
        <w:t>Der Bescheid setzt Rabenhorst in Erfahrungsstufe 5 fest. Die Zeit in Mexiko wird nur teilweise berücksichtigt, weil sie nicht vollständig in einem deutschen Beamtenverhältnis mit entsprechender Dienstpostenbewertung verbracht worden sei. Der Antrag auf Anerkennung besonderer Fachkunde wird mit der Formel abgelehnt, die Tätigkeit sei „förderlich, aber nicht besoldungsrechtlich stufenprägend“.</w:t>
      </w:r>
    </w:p>
    <w:p>
      <w:pPr>
        <w:jc w:val="left"/>
      </w:pPr>
      <w:r>
        <w:t>Der Bescheid enthält keine nachvollziehbare Abwägung der Projektaufgaben. Die Behörde trennt außerdem nicht sauber zwischen Stufe, Zulage, Laufbahnbefähigung und dienstlicher Beurteilung.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