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Stufenfestsetzung und Ablehnung der Anerkennung</w:t>
      </w:r>
    </w:p>
    <w:p>
      <w:pPr>
        <w:jc w:val="left"/>
      </w:pPr>
      <w:r>
        <w:t>Der Widerspruch richtet sich nicht darauf, Auslandserfahrung beliebig in höhere Besoldung umzuwandeln. Er verlangt eine nachvollziehbare Prüfung der konkreten Tätigkeit, der dienstlichen Veranlassung, der förderlichen Zeiten und der besonderen Fachkunde. Die Behörde darf die Tätigkeit nicht in Presse und Projektsteuerung als herausgehoben behandeln und im Bescheid ohne Begründung als besoldungsrechtlich nebensächlich einordnen.</w:t>
      </w:r>
    </w:p>
    <w:p>
      <w:pPr>
        <w:jc w:val="left"/>
      </w:pPr>
      <w:r>
        <w:t>Beantragt werden Akteneinsicht, Neubewertung der Erfahrungszeit, Prüfung einer Zulage oder sonstigen Anerkennung, hilfsweise eine ermessensfehlerfreie Neubescheidung. Spanischsprachige Nachweise werden mit beglaubigter Übersetzung nachgereicht.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