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Tätigkeitsprofil Mexiko - Wasserbau, Katastrophenschutz, Verwaltung</w:t>
      </w:r>
    </w:p>
    <w:p>
      <w:pPr>
        <w:jc w:val="left"/>
      </w:pPr>
      <w:r>
        <w:t>Der Beamte war für ein wasserwirtschaftliches Kooperationsprojekt in Mexiko abgeordnet. Er koordinierte Hochwasserschutzdaten, Vergabevorbereitung, technische Gutachten und Abstimmungen mit lokalen Behörden. Nach Rückkehr bewertet die Behörde den Einsatz als „fachlich interessant“, aber nicht laufbahn- oder besoldungsrelevant.</w:t>
      </w:r>
    </w:p>
    <w:p>
      <w:pPr>
        <w:pStyle w:val="Heading2"/>
      </w:pPr>
      <w:r>
        <w:rPr>
          <w:rFonts w:ascii="Times New Roman" w:hAnsi="Times New Roman"/>
        </w:rPr>
        <w:t>Streitpunkt</w:t>
      </w:r>
    </w:p>
    <w:p>
      <w:pPr>
        <w:jc w:val="left"/>
      </w:pPr>
      <w:r>
        <w:t>Die Tätigkeit war nicht bloß Auslandsrepräsentation. Sie verband ingenieurfachliche Expertise, Verwaltungssteuerung, Krisenkommunikation und internationale Koordination. Zu prüfen ist, ob diese Tätigkeit für Erfahrungsstufen, Laufbahnqualifikation, Zulagen oder Beförderungsauswahl berücksichtigt werden muss.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