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Vergleichbarkeit von Auslands- und Inlandstätigkeit</w:t>
      </w:r>
    </w:p>
    <w:p>
      <w:pPr>
        <w:jc w:val="left"/>
      </w:pPr>
      <w:r>
        <w:t>Die Behörde argumentiert, nur inländische Dienstposten seien unmittelbar vergleichbar. Das überzeugt in dieser Pauschalität nicht. Entscheidend ist nicht der Ort, sondern Inhalt, Verantwortung, Schwierigkeit und dienstliches Interesse. Wenn der Dienstherr den Beamten im dienstlichen Interesse entsendet, kann er die erworbene Erfahrung später nicht ohne Begründung als irrelevante Auslandsepisode behandeln.</w:t>
      </w:r>
    </w:p>
    <w:p>
      <w:pPr>
        <w:pStyle w:val="Heading2"/>
      </w:pPr>
      <w:r>
        <w:rPr>
          <w:rFonts w:ascii="Times New Roman" w:hAnsi="Times New Roman"/>
        </w:rPr>
        <w:t>Prüffragen</w:t>
      </w:r>
    </w:p>
    <w:p>
      <w:pPr>
        <w:pStyle w:val="ListBullet"/>
      </w:pPr>
      <w:r>
        <w:t>Erfolgte die Entsendung im dienstlichen Interesse?</w:t>
      </w:r>
    </w:p>
    <w:p>
      <w:pPr>
        <w:pStyle w:val="ListBullet"/>
      </w:pPr>
      <w:r>
        <w:t>Welche Aufgaben wurden übertragen?</w:t>
      </w:r>
    </w:p>
    <w:p>
      <w:pPr>
        <w:pStyle w:val="ListBullet"/>
      </w:pPr>
      <w:r>
        <w:t>Entsprach die Verantwortung einer höherwertigen Inlandstätigkeit?</w:t>
      </w:r>
    </w:p>
    <w:p>
      <w:pPr>
        <w:pStyle w:val="ListBullet"/>
      </w:pPr>
      <w:r>
        <w:t>Wurde der Einsatz vorher als karrierefördernd dargestellt?</w:t>
      </w:r>
    </w:p>
    <w:p>
      <w:pPr>
        <w:pStyle w:val="ListBullet"/>
      </w:pPr>
      <w:r>
        <w:t>Gibt es vergleichbare Anerkennungen bei anderen Beamten?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