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Nachzahlungs- und Beförderungsreserve</w:t>
      </w:r>
    </w:p>
    <w:p>
      <w:pPr>
        <w:jc w:val="left"/>
      </w:pPr>
      <w:r>
        <w:t>Der Beamte sollte nicht nur die Stufenfestsetzung angreifen, sondern auch spätere Beförderungsentscheidungen im Blick behalten. Wenn der Auslandseinsatz in der Personalakte als neutral oder nebensächlich erscheint, kann dies bei künftigen Auswahlverfahren erneut nachteilig wirken. Deshalb wird zugleich Personalaktenberichtigung, Anerkennungsentscheidung und hilfsweise ermessensfehlerfreie Neubescheidung verlangt.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