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Hauptschriftsatz Auslandseinsatz Mexiko, Laufbahn und Besoldung</w:t>
      </w:r>
    </w:p>
    <w:p>
      <w:pPr>
        <w:pStyle w:val="Heading2"/>
      </w:pPr>
      <w:r>
        <w:rPr>
          <w:rFonts w:ascii="Times New Roman" w:hAnsi="Times New Roman"/>
        </w:rPr>
        <w:t>Antrag</w:t>
      </w:r>
    </w:p>
    <w:p>
      <w:pPr>
        <w:jc w:val="left"/>
      </w:pPr>
      <w:r>
        <w:t>Der Beklagte wird verpflichtet, über die Anerkennung des Mexiko-Einsatzes des Klägers für Erfahrungsstufe, Laufbahnprofil und spätere Beförderungsauswahl unter Beachtung der Rechtsauffassung des Gerichts erneut zu entscheiden. Hilfsweise wird beantragt, die ablehnende Entscheidung aufzuheben und die Personalakte um eine zutreffende Tätigkeitsbeschreibung zu ergänzen.</w:t>
      </w:r>
    </w:p>
    <w:p>
      <w:pPr>
        <w:pStyle w:val="Heading2"/>
      </w:pPr>
      <w:r>
        <w:rPr>
          <w:rFonts w:ascii="Times New Roman" w:hAnsi="Times New Roman"/>
        </w:rPr>
        <w:t>Sachverhalt</w:t>
      </w:r>
    </w:p>
    <w:p>
      <w:pPr>
        <w:jc w:val="left"/>
      </w:pPr>
      <w:r>
        <w:t>Der Kläger ist Wasserbauingenieur im Landesdienst. Er wurde für ein Kooperationsprojekt nach Mexiko entsandt. Dort koordinierte er technische Gutachten, Hochwasserschutzdaten, Behördenkommunikation und Vergabevorbereitung. Nach Rückkehr wurde der Einsatz zwar gelobt, besoldungs- und laufbahnrechtlich aber als nicht relevant behandelt.</w:t>
      </w:r>
    </w:p>
    <w:p>
      <w:pPr>
        <w:pStyle w:val="Heading2"/>
      </w:pPr>
      <w:r>
        <w:rPr>
          <w:rFonts w:ascii="Times New Roman" w:hAnsi="Times New Roman"/>
        </w:rPr>
        <w:t>Rechtliche Einordnung</w:t>
      </w:r>
    </w:p>
    <w:p>
      <w:pPr>
        <w:jc w:val="left"/>
      </w:pPr>
      <w:r>
        <w:t>Der Dienstherr muss Auslandstätigkeiten nicht automatisch höher bewerten. Er muss aber erkennen lassen, ob er die wesentlichen Umstände gesehen hat: dienstliches Interesse, Aufgabeninhalt, Verantwortung, Schwierigkeit, Dauer, Vergleichbarkeit mit inländischen Funktionen und spätere Verwendung. Ein pauschaler Hinweis auf den ausländischen Einsatzort genügt nicht.</w:t>
      </w:r>
    </w:p>
    <w:p>
      <w:pPr>
        <w:pStyle w:val="Heading2"/>
      </w:pPr>
      <w:r>
        <w:rPr>
          <w:rFonts w:ascii="Times New Roman" w:hAnsi="Times New Roman"/>
        </w:rPr>
        <w:t>Personalaktenproblem</w:t>
      </w:r>
    </w:p>
    <w:p>
      <w:pPr>
        <w:jc w:val="left"/>
      </w:pPr>
      <w:r>
        <w:t>In der Personalakte steht nur „Projektbegleitung Mexiko“. Diese Formulierung ist zu schwach, wenn der Kläger tatsächlich leitend koordiniert hat. Eine solche Verkürzung kann spätere Auswahlentscheidungen beeinflussen. Deshalb wird neben der Besoldungsfrage auch eine Personalaktenberichtigung verfolgt.</w:t>
      </w:r>
    </w:p>
    <w:p>
      <w:pPr>
        <w:pStyle w:val="Heading2"/>
      </w:pPr>
      <w:r>
        <w:rPr>
          <w:rFonts w:ascii="Times New Roman" w:hAnsi="Times New Roman"/>
        </w:rPr>
        <w:t>Besoldung und Nachzahlung</w:t>
      </w:r>
    </w:p>
    <w:p>
      <w:pPr>
        <w:jc w:val="left"/>
      </w:pPr>
      <w:r>
        <w:t>Für die Besoldung ist entscheidend, ob der Einsatz als Erfahrungszeit oder für bestimmte Zulagen relevant sein kann. Die Kanzlei rechnet konservativ und offensiv. Konservativ wird nur die erkennbare Stufendifferenz berechnet. Offensiv wird zusätzlich geprüft, ob spätere Beförderungsverzögerungen kausal auf die Nichtanerkennung zurückgehen.</w:t>
      </w:r>
    </w:p>
    <w:p>
      <w:pPr>
        <w:pStyle w:val="Heading2"/>
      </w:pPr>
      <w:r>
        <w:rPr>
          <w:rFonts w:ascii="Times New Roman" w:hAnsi="Times New Roman"/>
        </w:rPr>
        <w:t>Internationale Besonderheiten</w:t>
      </w:r>
    </w:p>
    <w:p>
      <w:pPr>
        <w:jc w:val="left"/>
      </w:pPr>
      <w:r>
        <w:t>Der Fall ist kein privates Auslandsabenteuer. Der Kläger handelte im dienstlichen Interesse und mit Billigung seiner Behörde. Deshalb muss die Behörde erklären, warum dieselbe Tätigkeit im Ausland weniger zählen soll als eine vergleichbare Inlandstätigkeit.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