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Organisationsverfügung 03/2026</w:t>
      </w:r>
    </w:p>
    <w:p>
      <w:pPr>
        <w:jc w:val="left"/>
      </w:pPr>
      <w:r>
        <w:t>Die Referate F 2, F 3 und D 1 werden neu zugeschnitten. Das bisherige Referat F 3 „EU-Bauförderung“ wird geteilt; der digitale Mittelabruf wird als eigenständiger A15-Dienstposten geführt. Gleichzeitig wird die bisherige Leiterin F 2 auf eine Stabsstelle versetzt, der Leiter D 1 für sechs Monate an das Ministerium abgeordnet und eine neue Koordinierungsgruppe geschaffen.</w:t>
      </w:r>
    </w:p>
    <w:p>
      <w:pPr>
        <w:jc w:val="left"/>
      </w:pPr>
      <w:r>
        <w:t>Die Verfügung liest sich fachlich plausibel. Auffällig ist aber der Zeitpunkt: Drei Wochen vor Ausschreibung werden genau jene Personen aus dem unmittelbaren Bewerberfeld bewegt, die nach Beurteilungslage stärker gewesen wären. Die Behörde wird erklären müssen, ob die Umstrukturierung unabhängig von der Personalentscheidung vorbereitet war.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