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Auswahlvermerk A15 Digitaler Mittelabruf</w:t>
      </w:r>
    </w:p>
    <w:p>
      <w:pPr>
        <w:jc w:val="left"/>
      </w:pPr>
      <w:r>
        <w:t>Der Vermerk stellt Enkenbach als besonders profilpassend dar. Die bessere Gesamtbeurteilung Steinmanns wird erwähnt, aber mit dem Hinweis relativiert, sie habe weniger operative IT-Verfahrenskenntnis. Das kann ein zulässiger Gesichtspunkt sein, wenn er im Anforderungsprofil tragfähig verankert und nicht nachträglich konstruiert ist.</w:t>
      </w:r>
    </w:p>
    <w:p>
      <w:pPr>
        <w:jc w:val="left"/>
      </w:pPr>
      <w:r>
        <w:t>Problematisch ist die Abfolge: Zuerst Umstrukturierung, dann Profilschärfung, dann Herausbewegung stärkerer Personen, dann Auswahl der Wunschperson. Jeder Schritt kann einzeln rechtmäßig sein. In der Gesamtschau entsteht aber ein Manipulationsverdacht. Der Angriff muss diese Gesamtschau belegen, ohne der Behördenleiterin vorschnell unlautere Motive zu unterstellen.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