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Konkurrentenwiderspruch und Eilantrag</w:t>
      </w:r>
    </w:p>
    <w:p>
      <w:pPr>
        <w:jc w:val="left"/>
      </w:pPr>
      <w:r>
        <w:t>Frauke Steinmann rügt die Verletzung ihres Bewerbungsverfahrensanspruchs. Die Auswahl müsse gestoppt werden, weil die Organisationsverfügung und das Anforderungsprofil in engem zeitlichem Zusammenhang mit der beabsichtigten Beförderung stehen. Sie verlangt Akteneinsicht in die Vorarbeiten zur Umstrukturierung, die Kommunikation mit dem Ministerium und die Unterlagen zu den Abordnungen der besser beurteilten Beschäftigten.</w:t>
      </w:r>
    </w:p>
    <w:p>
      <w:pPr>
        <w:jc w:val="left"/>
      </w:pPr>
      <w:r>
        <w:t>Der Antrag sollte sich auf die Sicherung des Verfahrens konzentrieren: keine Ernennung, bevor das Auswahlfeld und die Dokumentation überprüft sind. Ein Antrag, die Umstrukturierung insgesamt rückgängig zu machen, wäre zu breit und prozessual riskanter.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