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Sekundärrechtsschutz nach vollzogener Ernennung</w:t>
      </w:r>
    </w:p>
    <w:p>
      <w:pPr>
        <w:jc w:val="left"/>
      </w:pPr>
      <w:r>
        <w:t>Falls Enkenbach bereits ernannt wird, verschiebt sich der Fall. Primärrechtsschutz kann dann weitgehend verloren sein; übrig bleiben Schadensersatz wegen rechtswidrig unterlassener Beförderung, Fortsetzungsfeststellungselemente und ein neuer Angriff auf Folgeentscheidungen. Dafür muss Steinmann zeigen, dass sie bei rechtmäßigem Verfahren ernsthaft ausgewählt worden wäre.</w:t>
      </w:r>
    </w:p>
    <w:p>
      <w:pPr>
        <w:jc w:val="left"/>
      </w:pPr>
      <w:r>
        <w:t>Die Kanzlei sollte deshalb schon im Eilverfahren alle Kausalitätsbausteine sichern: Beurteilungsvergleich, Profilpassung, frühere Projektleistungen, Manipulationsindikatoren und fehlende Dokumentation. Was jetzt nicht in die Akte kommt, fehlt später beim Schaden.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