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zur Planstellenrotation</w:t>
      </w:r>
    </w:p>
    <w:p>
      <w:pPr>
        <w:jc w:val="left"/>
      </w:pPr>
      <w:r>
        <w:t>Die Behördenleitung hat im Frühjahr 2026 mehrere Beförderungsdienstposten gleichzeitig bewegt. Drei erfahrene Sachgebietsleitungen wurden auf neu geschaffene Koordinierungsstellen umgesetzt. Kurz darauf wurde die frei gewordene A15-Leitung „Strategische Wasserverfahren“ ausgeschrieben. Die interne Kandidatin Livia Dornbach erhielt den Zuschlag, obwohl ihre Beurteilung nicht den stärksten Gesamteindruck aufweist.</w:t>
      </w:r>
    </w:p>
    <w:p>
      <w:pPr>
        <w:pStyle w:val="Heading2"/>
      </w:pPr>
      <w:r>
        <w:rPr>
          <w:rFonts w:ascii="Times New Roman" w:hAnsi="Times New Roman"/>
        </w:rPr>
        <w:t>Verdacht</w:t>
      </w:r>
    </w:p>
    <w:p>
      <w:pPr>
        <w:jc w:val="left"/>
      </w:pPr>
      <w:r>
        <w:t>Die Rotation könnte sachlich begründet sein. Sie könnte aber auch dazu dienen, stärkere Konkurrentinnen aus dem konkreten Bewerberfeld zu entfernen. Entscheidend ist, ob die Organisationsentscheidungen eigenständig am Dienstbedarf ausgerichtet waren oder ob sie funktional auf die spätere Auswahl zugeschnitten wurden.</w:t>
      </w:r>
    </w:p>
    <w:p>
      <w:pPr>
        <w:pStyle w:val="Heading2"/>
      </w:pPr>
      <w:r>
        <w:rPr>
          <w:rFonts w:ascii="Times New Roman" w:hAnsi="Times New Roman"/>
        </w:rPr>
        <w:t>Rechtliche Linie</w:t>
      </w:r>
    </w:p>
    <w:p>
      <w:pPr>
        <w:jc w:val="left"/>
      </w:pPr>
      <w:r>
        <w:t>Organisationsgewalt des Dienstherrn ist weit. Sie endet aber dort, wo ein Auswahlverfahren manipulativ vorstrukturiert wird. Der Bewerbungsverfahrensanspruch schützt nicht nur vor falscher Endauswahl, sondern auch vor sachwidriger Gestaltung des Bewerberfeldes, wenn diese die Bestenauslese leerlaufen lässt.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