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Beweisliste interne Kommunikation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Behördenleitung 12.02.2026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spricht von „Fenster für Dornbach“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Organisationsverfügung 01.03.2026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verschiebt zwei starke Konkurrenten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Personalratsnotiz 04.03.2026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fragt nach Zusammenhang mit A15-Ausschreibung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Bewerbermatrix 18.04.2026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zeigt bessere Beurteilungen anderer Personen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Auswahlvermerk 29.04.2026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gewichtet „Passung“ stärker als Leistung</w:t>
            </w:r>
          </w:p>
        </w:tc>
      </w:tr>
    </w:tbl>
    <w:p>
      <w:pPr>
        <w:jc w:val="left"/>
      </w:pPr>
      <w:r>
        <w:t>Die Kanzlei muss vorsichtig bleiben. Nicht jede unglückliche E-Mail beweist Manipulation. Entscheidend ist die Gesamtschau aus Timing, Wortlaut, Beurteilungslage und fehlender sachlicher Begründung der Rotation.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