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Schadensersatzreserve nach Nichtbeförderung</w:t>
      </w:r>
    </w:p>
    <w:p>
      <w:pPr>
        <w:jc w:val="left"/>
      </w:pPr>
      <w:r>
        <w:t>Falls die Stelle vollzogen wird, müssen Besoldungsdifferenz, hypothetischer Auswahlverlauf und Verschulden gesichert werden. Die Akte enthält mehrere Hinweise, dass die Rotation nicht nur organisatorisch motiviert war. Für einen späteren Schadensersatzanspruch reicht das aber nur, wenn plausibel wird, dass der Mandant bei fehlerfreier Organisations- und Auswahlentscheidung ernsthaft zum Zuge gekommen wäre.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