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Unfallanzeige und Einsatzbericht</w:t>
      </w:r>
    </w:p>
    <w:p>
      <w:pPr>
        <w:jc w:val="left"/>
      </w:pPr>
      <w:r>
        <w:t>Der Einsatzbericht beschreibt einen Brand in Halle 7, den Verdacht auf austretende Chemikalien und die Evakuierung eines verletzten Kollegen aus einem Rauchbereich. Behrens übernahm zeitweise die Abschnittsleitung, weil der reguläre Einsatzleiter im Funkloch war. Um 03:20 Uhr brach sie nach Rückkehr zur Wache kurz zusammen. In der Unfallanzeige wurden zunächst nur Rauchgas und Knieprellung eingetragen.</w:t>
      </w:r>
    </w:p>
    <w:p>
      <w:pPr>
        <w:jc w:val="left"/>
      </w:pPr>
      <w:r>
        <w:t>Die psychischen Symptome wurden erst später ergänzt. Die Dienststelle hält dies für verspätet. Die Mandantin erwidert, sie habe die Symptome zunächst als normale Einsatznachwirkung verstanden und erst nach ärztlicher Einordnung als mögliche Dienstunfallfolge gemeldet.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