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Ärztlicher Verlauf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15.09.2024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Durchgangs-/Notfallbericht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Rauchgasreizung, Prellung, Schlaflosigkeit erwähnt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10.10.2024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Hausärztliche Notiz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Albträume und Konzentrationsprobleme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22.11.2024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Psychotherapeutische Erstdiagnostik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Verdacht PTBS, depressive Symptomatik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Amtsärztliche Stellungnahme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Kausalität offen, private Belastungen erwähnt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Fachgutachten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Ereignis geeignet, Verlauf plausibel, Wiedereingliederung empfohlen</w:t>
            </w:r>
          </w:p>
        </w:tc>
      </w:tr>
    </w:tbl>
    <w:p>
      <w:pPr>
        <w:jc w:val="left"/>
      </w:pPr>
      <w:r>
        <w:t>Der Streit liegt nicht darin, ob Behrens krank ist. Der Streit liegt in der dienstunfallrechtlichen Kausalität und in der Frage, ob die Dienststelle die Behandlung als Unfallfürsorge steuern muss.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